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E2D5" w14:textId="24ED9C23" w:rsidR="00D02ACC" w:rsidRDefault="00E647D6" w:rsidP="007055F9">
      <w:pPr>
        <w:spacing w:line="300" w:lineRule="atLeast"/>
        <w:rPr>
          <w:rFonts w:ascii="Sharp Sans Display No1" w:hAnsi="Sharp Sans Display No1"/>
          <w:sz w:val="22"/>
          <w:szCs w:val="22"/>
        </w:rPr>
      </w:pPr>
      <w:r>
        <w:rPr>
          <w:rFonts w:ascii="Sharp Sans Display No1" w:hAnsi="Sharp Sans Display No1"/>
          <w:sz w:val="22"/>
          <w:szCs w:val="22"/>
        </w:rPr>
        <w:t xml:space="preserve">Powering the transition: </w:t>
      </w:r>
      <w:r w:rsidR="00F5598A">
        <w:rPr>
          <w:rFonts w:ascii="Sharp Sans Display No1" w:hAnsi="Sharp Sans Display No1"/>
          <w:sz w:val="22"/>
          <w:szCs w:val="22"/>
        </w:rPr>
        <w:t>w</w:t>
      </w:r>
      <w:r>
        <w:rPr>
          <w:rFonts w:ascii="Sharp Sans Display No1" w:hAnsi="Sharp Sans Display No1"/>
          <w:sz w:val="22"/>
          <w:szCs w:val="22"/>
        </w:rPr>
        <w:t>hy critical minerals are central to the next era</w:t>
      </w:r>
      <w:r>
        <w:rPr>
          <w:rFonts w:ascii="Sharp Sans Display No1" w:hAnsi="Sharp Sans Display No1"/>
          <w:sz w:val="22"/>
          <w:szCs w:val="22"/>
        </w:rPr>
        <w:br/>
      </w:r>
      <w:r w:rsidR="00D02ACC">
        <w:rPr>
          <w:rFonts w:ascii="Sharp Sans Display No1" w:hAnsi="Sharp Sans Display No1"/>
          <w:sz w:val="22"/>
          <w:szCs w:val="22"/>
        </w:rPr>
        <w:t>Author: Rosa Leo</w:t>
      </w:r>
      <w:r w:rsidR="00D02ACC">
        <w:rPr>
          <w:rFonts w:ascii="Sharp Sans Display No1" w:hAnsi="Sharp Sans Display No1"/>
          <w:sz w:val="22"/>
          <w:szCs w:val="22"/>
        </w:rPr>
        <w:br/>
      </w:r>
      <w:r w:rsidR="00D02ACC" w:rsidRPr="00D02ACC">
        <w:rPr>
          <w:rFonts w:ascii="Sharp Sans Display No1" w:hAnsi="Sharp Sans Display No1"/>
          <w:sz w:val="22"/>
          <w:szCs w:val="22"/>
        </w:rPr>
        <w:t>Associate Equity Investment Specialist</w:t>
      </w:r>
    </w:p>
    <w:p w14:paraId="290EA86C" w14:textId="77777777" w:rsidR="00D02ACC" w:rsidRDefault="00D02ACC" w:rsidP="007055F9">
      <w:pPr>
        <w:spacing w:line="300" w:lineRule="atLeast"/>
        <w:rPr>
          <w:rFonts w:ascii="Sharp Sans Display No1" w:hAnsi="Sharp Sans Display No1"/>
          <w:sz w:val="22"/>
          <w:szCs w:val="22"/>
        </w:rPr>
      </w:pPr>
    </w:p>
    <w:p w14:paraId="20442897" w14:textId="757724FC" w:rsidR="007055F9" w:rsidRPr="007055F9" w:rsidRDefault="007055F9" w:rsidP="007055F9">
      <w:pPr>
        <w:spacing w:line="300" w:lineRule="atLeast"/>
        <w:rPr>
          <w:rFonts w:ascii="Sharp Sans Display No1" w:hAnsi="Sharp Sans Display No1"/>
          <w:sz w:val="22"/>
          <w:szCs w:val="22"/>
        </w:rPr>
      </w:pPr>
      <w:r w:rsidRPr="007055F9">
        <w:rPr>
          <w:rFonts w:ascii="Sharp Sans Display No1" w:hAnsi="Sharp Sans Display No1"/>
          <w:sz w:val="22"/>
          <w:szCs w:val="22"/>
        </w:rPr>
        <w:t>Global energy consumption is accelerating</w:t>
      </w:r>
      <w:r w:rsidR="00F5598A">
        <w:rPr>
          <w:rFonts w:ascii="Sharp Sans Display No1" w:hAnsi="Sharp Sans Display No1"/>
          <w:sz w:val="22"/>
          <w:szCs w:val="22"/>
        </w:rPr>
        <w:t xml:space="preserve">. It’s being </w:t>
      </w:r>
      <w:r w:rsidRPr="007055F9">
        <w:rPr>
          <w:rFonts w:ascii="Sharp Sans Display No1" w:hAnsi="Sharp Sans Display No1"/>
          <w:sz w:val="22"/>
          <w:szCs w:val="22"/>
        </w:rPr>
        <w:t>driven by power</w:t>
      </w:r>
      <w:r w:rsidR="00F5598A">
        <w:rPr>
          <w:rFonts w:ascii="Sharp Sans Display No1" w:hAnsi="Sharp Sans Display No1"/>
          <w:sz w:val="22"/>
          <w:szCs w:val="22"/>
        </w:rPr>
        <w:t>-</w:t>
      </w:r>
      <w:r w:rsidRPr="007055F9">
        <w:rPr>
          <w:rFonts w:ascii="Sharp Sans Display No1" w:hAnsi="Sharp Sans Display No1"/>
          <w:sz w:val="22"/>
          <w:szCs w:val="22"/>
        </w:rPr>
        <w:t xml:space="preserve">hungry </w:t>
      </w:r>
      <w:r w:rsidR="00F5598A">
        <w:rPr>
          <w:rFonts w:ascii="Sharp Sans Display No1" w:hAnsi="Sharp Sans Display No1"/>
          <w:sz w:val="22"/>
          <w:szCs w:val="22"/>
        </w:rPr>
        <w:t>artificial intelligence (</w:t>
      </w:r>
      <w:r w:rsidRPr="007055F9">
        <w:rPr>
          <w:rFonts w:ascii="Sharp Sans Display No1" w:hAnsi="Sharp Sans Display No1"/>
          <w:sz w:val="22"/>
          <w:szCs w:val="22"/>
        </w:rPr>
        <w:t>AI</w:t>
      </w:r>
      <w:r w:rsidR="00F5598A">
        <w:rPr>
          <w:rFonts w:ascii="Sharp Sans Display No1" w:hAnsi="Sharp Sans Display No1"/>
          <w:sz w:val="22"/>
          <w:szCs w:val="22"/>
        </w:rPr>
        <w:t>)</w:t>
      </w:r>
      <w:r w:rsidR="001D1FD6">
        <w:rPr>
          <w:rFonts w:ascii="Sharp Sans Display No1" w:hAnsi="Sharp Sans Display No1"/>
          <w:sz w:val="22"/>
          <w:szCs w:val="22"/>
        </w:rPr>
        <w:t xml:space="preserve"> development</w:t>
      </w:r>
      <w:r w:rsidRPr="007055F9">
        <w:rPr>
          <w:rFonts w:ascii="Sharp Sans Display No1" w:hAnsi="Sharp Sans Display No1"/>
          <w:sz w:val="22"/>
          <w:szCs w:val="22"/>
        </w:rPr>
        <w:t>, the rise of robotics and automation, and the electrification of transport and industry. At the same time, the energy transition is intensifying investment in renewable power, alongside the need for significant grid build</w:t>
      </w:r>
      <w:r w:rsidR="0035317B">
        <w:rPr>
          <w:rFonts w:ascii="Sharp Sans Display No1" w:hAnsi="Sharp Sans Display No1"/>
          <w:sz w:val="22"/>
          <w:szCs w:val="22"/>
        </w:rPr>
        <w:t>ing</w:t>
      </w:r>
      <w:r w:rsidRPr="007055F9">
        <w:rPr>
          <w:rFonts w:ascii="Sharp Sans Display No1" w:hAnsi="Sharp Sans Display No1"/>
          <w:sz w:val="22"/>
          <w:szCs w:val="22"/>
        </w:rPr>
        <w:t xml:space="preserve"> and </w:t>
      </w:r>
      <w:r w:rsidR="00E647D6">
        <w:rPr>
          <w:rFonts w:ascii="Sharp Sans Display No1" w:hAnsi="Sharp Sans Display No1"/>
          <w:sz w:val="22"/>
          <w:szCs w:val="22"/>
        </w:rPr>
        <w:t>modernisation</w:t>
      </w:r>
      <w:r w:rsidRPr="007055F9">
        <w:rPr>
          <w:rFonts w:ascii="Sharp Sans Display No1" w:hAnsi="Sharp Sans Display No1"/>
          <w:sz w:val="22"/>
          <w:szCs w:val="22"/>
        </w:rPr>
        <w:t>.</w:t>
      </w:r>
    </w:p>
    <w:p w14:paraId="71D5F5CE" w14:textId="327A7B7C" w:rsidR="007055F9" w:rsidRPr="007055F9" w:rsidRDefault="007055F9" w:rsidP="007055F9">
      <w:pPr>
        <w:spacing w:line="300" w:lineRule="atLeast"/>
        <w:rPr>
          <w:rFonts w:ascii="Sharp Sans Display No1" w:hAnsi="Sharp Sans Display No1"/>
          <w:sz w:val="22"/>
          <w:szCs w:val="22"/>
        </w:rPr>
      </w:pPr>
      <w:r w:rsidRPr="007055F9">
        <w:rPr>
          <w:rFonts w:ascii="Sharp Sans Display No1" w:hAnsi="Sharp Sans Display No1"/>
          <w:sz w:val="22"/>
          <w:szCs w:val="22"/>
        </w:rPr>
        <w:t xml:space="preserve">These trends </w:t>
      </w:r>
      <w:r w:rsidR="00F5598A">
        <w:rPr>
          <w:rFonts w:ascii="Sharp Sans Display No1" w:hAnsi="Sharp Sans Display No1"/>
          <w:sz w:val="22"/>
          <w:szCs w:val="22"/>
        </w:rPr>
        <w:t>are</w:t>
      </w:r>
      <w:r w:rsidR="00F5598A" w:rsidRPr="007055F9">
        <w:rPr>
          <w:rFonts w:ascii="Sharp Sans Display No1" w:hAnsi="Sharp Sans Display No1"/>
          <w:sz w:val="22"/>
          <w:szCs w:val="22"/>
        </w:rPr>
        <w:t xml:space="preserve"> </w:t>
      </w:r>
      <w:r w:rsidRPr="007055F9">
        <w:rPr>
          <w:rFonts w:ascii="Sharp Sans Display No1" w:hAnsi="Sharp Sans Display No1"/>
          <w:sz w:val="22"/>
          <w:szCs w:val="22"/>
        </w:rPr>
        <w:t xml:space="preserve">highly dependent on a relatively small group of critical minerals — including copper, aluminium and rare earth elements — which are essential for electric vehicles, batteries, semiconductors and renewable infrastructure. Demand for these materials is rising, while supply remains constrained </w:t>
      </w:r>
      <w:r w:rsidR="0035317B">
        <w:rPr>
          <w:rFonts w:ascii="Sharp Sans Display No1" w:hAnsi="Sharp Sans Display No1"/>
          <w:sz w:val="22"/>
          <w:szCs w:val="22"/>
        </w:rPr>
        <w:t>because of long p</w:t>
      </w:r>
      <w:r w:rsidRPr="007055F9">
        <w:rPr>
          <w:rFonts w:ascii="Sharp Sans Display No1" w:hAnsi="Sharp Sans Display No1"/>
          <w:sz w:val="22"/>
          <w:szCs w:val="22"/>
        </w:rPr>
        <w:t xml:space="preserve">roject lead times and limited new capacity. This imbalance </w:t>
      </w:r>
      <w:r w:rsidR="00E647D6">
        <w:rPr>
          <w:rFonts w:ascii="Sharp Sans Display No1" w:hAnsi="Sharp Sans Display No1"/>
          <w:sz w:val="22"/>
          <w:szCs w:val="22"/>
        </w:rPr>
        <w:t>may provide</w:t>
      </w:r>
      <w:r w:rsidRPr="007055F9">
        <w:rPr>
          <w:rFonts w:ascii="Sharp Sans Display No1" w:hAnsi="Sharp Sans Display No1"/>
          <w:sz w:val="22"/>
          <w:szCs w:val="22"/>
        </w:rPr>
        <w:t xml:space="preserve"> sustained pricing support and attractive </w:t>
      </w:r>
      <w:r w:rsidR="00F5598A">
        <w:rPr>
          <w:rFonts w:ascii="Sharp Sans Display No1" w:hAnsi="Sharp Sans Display No1"/>
          <w:sz w:val="22"/>
          <w:szCs w:val="22"/>
        </w:rPr>
        <w:t>long-term</w:t>
      </w:r>
      <w:r w:rsidRPr="007055F9">
        <w:rPr>
          <w:rFonts w:ascii="Sharp Sans Display No1" w:hAnsi="Sharp Sans Display No1"/>
          <w:sz w:val="22"/>
          <w:szCs w:val="22"/>
        </w:rPr>
        <w:t xml:space="preserve"> investment opportunities.</w:t>
      </w:r>
    </w:p>
    <w:p w14:paraId="1DB5EBDF" w14:textId="741B8D69" w:rsidR="002D2F13" w:rsidRPr="00184C61" w:rsidRDefault="00DB1A07" w:rsidP="005D35F6">
      <w:pPr>
        <w:spacing w:line="300" w:lineRule="atLeast"/>
        <w:rPr>
          <w:rFonts w:ascii="Sharp Sans Display No1" w:hAnsi="Sharp Sans Display No1"/>
          <w:sz w:val="22"/>
          <w:szCs w:val="22"/>
        </w:rPr>
      </w:pPr>
      <w:r w:rsidRPr="00FF562F">
        <w:rPr>
          <w:rFonts w:ascii="Sharp Sans Display No1" w:hAnsi="Sharp Sans Display No1"/>
          <w:sz w:val="22"/>
          <w:szCs w:val="22"/>
        </w:rPr>
        <w:t xml:space="preserve">The </w:t>
      </w:r>
      <w:proofErr w:type="spellStart"/>
      <w:r w:rsidRPr="00FF562F">
        <w:rPr>
          <w:rFonts w:ascii="Sharp Sans Display No1" w:hAnsi="Sharp Sans Display No1"/>
          <w:sz w:val="22"/>
          <w:szCs w:val="22"/>
        </w:rPr>
        <w:t>abrdn</w:t>
      </w:r>
      <w:proofErr w:type="spellEnd"/>
      <w:r w:rsidRPr="00FF562F">
        <w:rPr>
          <w:rFonts w:ascii="Sharp Sans Display No1" w:hAnsi="Sharp Sans Display No1"/>
          <w:sz w:val="22"/>
          <w:szCs w:val="22"/>
        </w:rPr>
        <w:t xml:space="preserve"> SICAV I </w:t>
      </w:r>
      <w:r w:rsidRPr="007055F9">
        <w:rPr>
          <w:rFonts w:ascii="Sharp Sans Display No1" w:hAnsi="Sharp Sans Display No1"/>
          <w:sz w:val="22"/>
          <w:szCs w:val="22"/>
        </w:rPr>
        <w:t>—</w:t>
      </w:r>
      <w:r w:rsidRPr="00FF562F">
        <w:rPr>
          <w:rFonts w:ascii="Sharp Sans Display No1" w:hAnsi="Sharp Sans Display No1"/>
          <w:sz w:val="22"/>
          <w:szCs w:val="22"/>
        </w:rPr>
        <w:t xml:space="preserve"> Future Minerals Fund</w:t>
      </w:r>
      <w:r w:rsidR="007055F9" w:rsidRPr="00DB1A07">
        <w:rPr>
          <w:rFonts w:ascii="Sharp Sans Display No1" w:hAnsi="Sharp Sans Display No1"/>
          <w:sz w:val="22"/>
          <w:szCs w:val="22"/>
        </w:rPr>
        <w:t xml:space="preserve"> invests </w:t>
      </w:r>
      <w:r w:rsidR="007055F9" w:rsidRPr="007055F9">
        <w:rPr>
          <w:rFonts w:ascii="Sharp Sans Display No1" w:hAnsi="Sharp Sans Display No1"/>
          <w:sz w:val="22"/>
          <w:szCs w:val="22"/>
        </w:rPr>
        <w:t xml:space="preserve">in global companies </w:t>
      </w:r>
      <w:r w:rsidR="00F5598A">
        <w:rPr>
          <w:rFonts w:ascii="Sharp Sans Display No1" w:hAnsi="Sharp Sans Display No1"/>
          <w:sz w:val="22"/>
          <w:szCs w:val="22"/>
        </w:rPr>
        <w:t xml:space="preserve">that are </w:t>
      </w:r>
      <w:r w:rsidR="007055F9" w:rsidRPr="007055F9">
        <w:rPr>
          <w:rFonts w:ascii="Sharp Sans Display No1" w:hAnsi="Sharp Sans Display No1"/>
          <w:sz w:val="22"/>
          <w:szCs w:val="22"/>
        </w:rPr>
        <w:t>positioned at the forefront of this transition</w:t>
      </w:r>
      <w:r w:rsidR="00F5598A">
        <w:rPr>
          <w:rFonts w:ascii="Sharp Sans Display No1" w:hAnsi="Sharp Sans Display No1"/>
          <w:sz w:val="22"/>
          <w:szCs w:val="22"/>
        </w:rPr>
        <w:t xml:space="preserve"> </w:t>
      </w:r>
      <w:r w:rsidR="00F5598A" w:rsidRPr="007055F9">
        <w:rPr>
          <w:rFonts w:ascii="Sharp Sans Display No1" w:hAnsi="Sharp Sans Display No1"/>
          <w:sz w:val="22"/>
          <w:szCs w:val="22"/>
        </w:rPr>
        <w:t>—</w:t>
      </w:r>
      <w:r w:rsidR="007055F9" w:rsidRPr="007055F9">
        <w:rPr>
          <w:rFonts w:ascii="Sharp Sans Display No1" w:hAnsi="Sharp Sans Display No1"/>
          <w:sz w:val="22"/>
          <w:szCs w:val="22"/>
        </w:rPr>
        <w:t xml:space="preserve"> both within the extraction industry and across the wider minerals value chain.</w:t>
      </w:r>
    </w:p>
    <w:p w14:paraId="5F4C715F" w14:textId="77777777" w:rsidR="003C0D8D" w:rsidRPr="00184C61" w:rsidRDefault="003C0D8D" w:rsidP="0086558E">
      <w:pPr>
        <w:spacing w:after="0" w:line="240" w:lineRule="auto"/>
        <w:ind w:left="720" w:hanging="360"/>
        <w:rPr>
          <w:rFonts w:ascii="Sharp Sans Display No1" w:hAnsi="Sharp Sans Display No1"/>
          <w:sz w:val="22"/>
          <w:szCs w:val="22"/>
        </w:rPr>
      </w:pPr>
    </w:p>
    <w:p w14:paraId="7097D4A7" w14:textId="5897314A" w:rsidR="009A1B38" w:rsidRDefault="004B5EF7" w:rsidP="009A1B38">
      <w:pPr>
        <w:spacing w:after="0" w:line="240" w:lineRule="auto"/>
        <w:rPr>
          <w:rFonts w:ascii="Sharp Sans Display No1" w:eastAsia="Times New Roman" w:hAnsi="Sharp Sans Display No1" w:cs="Calibri"/>
          <w:b/>
          <w:bCs/>
          <w:sz w:val="22"/>
          <w:szCs w:val="22"/>
        </w:rPr>
      </w:pPr>
      <w:r>
        <w:rPr>
          <w:rFonts w:ascii="Sharp Sans Display No1" w:eastAsia="Times New Roman" w:hAnsi="Sharp Sans Display No1" w:cs="Calibri"/>
          <w:b/>
          <w:bCs/>
          <w:sz w:val="22"/>
          <w:szCs w:val="22"/>
        </w:rPr>
        <w:t>Our i</w:t>
      </w:r>
      <w:r w:rsidR="00E647D6">
        <w:rPr>
          <w:rFonts w:ascii="Sharp Sans Display No1" w:eastAsia="Times New Roman" w:hAnsi="Sharp Sans Display No1" w:cs="Calibri"/>
          <w:b/>
          <w:bCs/>
          <w:sz w:val="22"/>
          <w:szCs w:val="22"/>
        </w:rPr>
        <w:t>nvestment process</w:t>
      </w:r>
    </w:p>
    <w:p w14:paraId="76B3E741" w14:textId="77777777" w:rsidR="00E647D6" w:rsidRPr="00184C61" w:rsidRDefault="00E647D6" w:rsidP="009A1B38">
      <w:pPr>
        <w:spacing w:after="0" w:line="240" w:lineRule="auto"/>
        <w:rPr>
          <w:rFonts w:ascii="Sharp Sans Display No1" w:eastAsia="Times New Roman" w:hAnsi="Sharp Sans Display No1" w:cs="Calibri"/>
          <w:b/>
          <w:bCs/>
          <w:sz w:val="22"/>
          <w:szCs w:val="22"/>
        </w:rPr>
      </w:pPr>
    </w:p>
    <w:p w14:paraId="0E9E8C9A" w14:textId="12EB88F1" w:rsidR="007055F9" w:rsidRPr="00184C61" w:rsidRDefault="007055F9" w:rsidP="007055F9">
      <w:pPr>
        <w:spacing w:line="300" w:lineRule="atLeast"/>
        <w:rPr>
          <w:rFonts w:ascii="Sharp Sans Display No1" w:hAnsi="Sharp Sans Display No1"/>
          <w:sz w:val="22"/>
          <w:szCs w:val="22"/>
        </w:rPr>
      </w:pPr>
      <w:r w:rsidRPr="00184C61">
        <w:rPr>
          <w:rFonts w:ascii="Sharp Sans Display No1" w:hAnsi="Sharp Sans Display No1"/>
          <w:sz w:val="22"/>
          <w:szCs w:val="22"/>
        </w:rPr>
        <w:t xml:space="preserve">A key differentiator of </w:t>
      </w:r>
      <w:r w:rsidR="00DB1A07">
        <w:rPr>
          <w:rFonts w:ascii="Sharp Sans Display No1" w:hAnsi="Sharp Sans Display No1"/>
          <w:sz w:val="22"/>
          <w:szCs w:val="22"/>
        </w:rPr>
        <w:t>our</w:t>
      </w:r>
      <w:r w:rsidRPr="00184C61">
        <w:rPr>
          <w:rFonts w:ascii="Sharp Sans Display No1" w:hAnsi="Sharp Sans Display No1"/>
          <w:sz w:val="22"/>
          <w:szCs w:val="22"/>
        </w:rPr>
        <w:t xml:space="preserve"> </w:t>
      </w:r>
      <w:r w:rsidR="00DB1A07">
        <w:rPr>
          <w:rFonts w:ascii="Sharp Sans Display No1" w:hAnsi="Sharp Sans Display No1"/>
          <w:sz w:val="22"/>
          <w:szCs w:val="22"/>
        </w:rPr>
        <w:t>fund</w:t>
      </w:r>
      <w:r w:rsidRPr="00184C61">
        <w:rPr>
          <w:rFonts w:ascii="Sharp Sans Display No1" w:hAnsi="Sharp Sans Display No1"/>
          <w:sz w:val="22"/>
          <w:szCs w:val="22"/>
        </w:rPr>
        <w:t xml:space="preserve"> is its quality</w:t>
      </w:r>
      <w:r w:rsidR="00A671E1">
        <w:rPr>
          <w:rFonts w:ascii="Sharp Sans Display No1" w:hAnsi="Sharp Sans Display No1"/>
          <w:sz w:val="22"/>
          <w:szCs w:val="22"/>
        </w:rPr>
        <w:t>-</w:t>
      </w:r>
      <w:r w:rsidRPr="00184C61">
        <w:rPr>
          <w:rFonts w:ascii="Sharp Sans Display No1" w:hAnsi="Sharp Sans Display No1"/>
          <w:sz w:val="22"/>
          <w:szCs w:val="22"/>
        </w:rPr>
        <w:t>led, ESG</w:t>
      </w:r>
      <w:r w:rsidR="004B5EF7">
        <w:rPr>
          <w:rFonts w:ascii="Sharp Sans Display No1" w:hAnsi="Sharp Sans Display No1"/>
          <w:sz w:val="22"/>
          <w:szCs w:val="22"/>
        </w:rPr>
        <w:t xml:space="preserve"> (environmental, social and governance)</w:t>
      </w:r>
      <w:r w:rsidR="00A671E1">
        <w:rPr>
          <w:rFonts w:ascii="Sharp Sans Display No1" w:hAnsi="Sharp Sans Display No1"/>
          <w:sz w:val="22"/>
          <w:szCs w:val="22"/>
        </w:rPr>
        <w:t>-</w:t>
      </w:r>
      <w:r w:rsidRPr="00184C61">
        <w:rPr>
          <w:rFonts w:ascii="Sharp Sans Display No1" w:hAnsi="Sharp Sans Display No1"/>
          <w:sz w:val="22"/>
          <w:szCs w:val="22"/>
        </w:rPr>
        <w:t xml:space="preserve">integrated approach. From an initial universe of around 1,500 companies, inclusion requires at least 20% revenue exposure to the </w:t>
      </w:r>
      <w:r w:rsidR="00A671E1">
        <w:rPr>
          <w:rFonts w:ascii="Sharp Sans Display No1" w:hAnsi="Sharp Sans Display No1"/>
          <w:sz w:val="22"/>
          <w:szCs w:val="22"/>
        </w:rPr>
        <w:t>f</w:t>
      </w:r>
      <w:r w:rsidRPr="00184C61">
        <w:rPr>
          <w:rFonts w:ascii="Sharp Sans Display No1" w:hAnsi="Sharp Sans Display No1"/>
          <w:sz w:val="22"/>
          <w:szCs w:val="22"/>
        </w:rPr>
        <w:t xml:space="preserve">uture </w:t>
      </w:r>
      <w:r w:rsidR="00A671E1">
        <w:rPr>
          <w:rFonts w:ascii="Sharp Sans Display No1" w:hAnsi="Sharp Sans Display No1"/>
          <w:sz w:val="22"/>
          <w:szCs w:val="22"/>
        </w:rPr>
        <w:t>m</w:t>
      </w:r>
      <w:r w:rsidRPr="00184C61">
        <w:rPr>
          <w:rFonts w:ascii="Sharp Sans Display No1" w:hAnsi="Sharp Sans Display No1"/>
          <w:sz w:val="22"/>
          <w:szCs w:val="22"/>
        </w:rPr>
        <w:t>inerals theme, alongside robust quality and ESG credentials. As a</w:t>
      </w:r>
      <w:r w:rsidR="003036E9">
        <w:rPr>
          <w:rFonts w:ascii="Sharp Sans Display No1" w:hAnsi="Sharp Sans Display No1"/>
          <w:sz w:val="22"/>
          <w:szCs w:val="22"/>
        </w:rPr>
        <w:t xml:space="preserve"> Sustainable Finance Disclosure Regulation</w:t>
      </w:r>
      <w:r w:rsidRPr="00184C61">
        <w:rPr>
          <w:rFonts w:ascii="Sharp Sans Display No1" w:hAnsi="Sharp Sans Display No1"/>
          <w:sz w:val="22"/>
          <w:szCs w:val="22"/>
        </w:rPr>
        <w:t xml:space="preserve"> Article 8 </w:t>
      </w:r>
      <w:r w:rsidR="00DB1A07">
        <w:rPr>
          <w:rFonts w:ascii="Sharp Sans Display No1" w:hAnsi="Sharp Sans Display No1"/>
          <w:sz w:val="22"/>
          <w:szCs w:val="22"/>
        </w:rPr>
        <w:t>fund</w:t>
      </w:r>
      <w:r w:rsidRPr="00184C61">
        <w:rPr>
          <w:rFonts w:ascii="Sharp Sans Display No1" w:hAnsi="Sharp Sans Display No1"/>
          <w:sz w:val="22"/>
          <w:szCs w:val="22"/>
        </w:rPr>
        <w:t>, companies must pass ESG screens, with a preference for strong governance, environmental practices and risk management</w:t>
      </w:r>
      <w:r w:rsidR="00A671E1">
        <w:rPr>
          <w:rFonts w:ascii="Sharp Sans Display No1" w:hAnsi="Sharp Sans Display No1"/>
          <w:sz w:val="22"/>
          <w:szCs w:val="22"/>
        </w:rPr>
        <w:t xml:space="preserve">. This </w:t>
      </w:r>
      <w:r w:rsidRPr="00184C61">
        <w:rPr>
          <w:rFonts w:ascii="Sharp Sans Display No1" w:hAnsi="Sharp Sans Display No1"/>
          <w:sz w:val="22"/>
          <w:szCs w:val="22"/>
        </w:rPr>
        <w:t>help</w:t>
      </w:r>
      <w:r w:rsidR="00A671E1">
        <w:rPr>
          <w:rFonts w:ascii="Sharp Sans Display No1" w:hAnsi="Sharp Sans Display No1"/>
          <w:sz w:val="22"/>
          <w:szCs w:val="22"/>
        </w:rPr>
        <w:t>s</w:t>
      </w:r>
      <w:r w:rsidRPr="00184C61">
        <w:rPr>
          <w:rFonts w:ascii="Sharp Sans Display No1" w:hAnsi="Sharp Sans Display No1"/>
          <w:sz w:val="22"/>
          <w:szCs w:val="22"/>
        </w:rPr>
        <w:t xml:space="preserve"> to mitigate tail risks in a complex and often volatile sector.</w:t>
      </w:r>
    </w:p>
    <w:p w14:paraId="73D597F6" w14:textId="77777777" w:rsidR="00E647D6" w:rsidRDefault="007055F9" w:rsidP="007055F9">
      <w:pPr>
        <w:spacing w:line="300" w:lineRule="atLeast"/>
        <w:rPr>
          <w:rFonts w:ascii="Sharp Sans Display No1" w:hAnsi="Sharp Sans Display No1"/>
          <w:sz w:val="22"/>
          <w:szCs w:val="22"/>
        </w:rPr>
      </w:pPr>
      <w:r w:rsidRPr="00184C61">
        <w:rPr>
          <w:rFonts w:ascii="Sharp Sans Display No1" w:hAnsi="Sharp Sans Display No1"/>
          <w:sz w:val="22"/>
          <w:szCs w:val="22"/>
        </w:rPr>
        <w:t xml:space="preserve">The portfolio invests across four core areas: </w:t>
      </w:r>
    </w:p>
    <w:p w14:paraId="427E1D4A" w14:textId="70F13AE6" w:rsidR="00E647D6" w:rsidRDefault="00E647D6" w:rsidP="00E647D6">
      <w:pPr>
        <w:pStyle w:val="ListParagraph"/>
        <w:numPr>
          <w:ilvl w:val="0"/>
          <w:numId w:val="10"/>
        </w:numPr>
        <w:spacing w:line="300" w:lineRule="atLeast"/>
        <w:rPr>
          <w:rFonts w:ascii="Sharp Sans Display No1" w:hAnsi="Sharp Sans Display No1"/>
          <w:sz w:val="22"/>
          <w:szCs w:val="22"/>
        </w:rPr>
      </w:pPr>
      <w:r>
        <w:rPr>
          <w:rFonts w:ascii="Sharp Sans Display No1" w:hAnsi="Sharp Sans Display No1"/>
          <w:sz w:val="22"/>
          <w:szCs w:val="22"/>
        </w:rPr>
        <w:t>M</w:t>
      </w:r>
      <w:r w:rsidR="007055F9" w:rsidRPr="00F05837">
        <w:rPr>
          <w:rFonts w:ascii="Sharp Sans Display No1" w:hAnsi="Sharp Sans Display No1"/>
          <w:sz w:val="22"/>
          <w:szCs w:val="22"/>
        </w:rPr>
        <w:t>ineral extraction and processing (</w:t>
      </w:r>
      <w:r w:rsidR="003036E9">
        <w:rPr>
          <w:rFonts w:ascii="Sharp Sans Display No1" w:hAnsi="Sharp Sans Display No1"/>
          <w:sz w:val="22"/>
          <w:szCs w:val="22"/>
        </w:rPr>
        <w:t xml:space="preserve">over </w:t>
      </w:r>
      <w:r w:rsidR="007055F9" w:rsidRPr="00F05837">
        <w:rPr>
          <w:rFonts w:ascii="Sharp Sans Display No1" w:hAnsi="Sharp Sans Display No1"/>
          <w:sz w:val="22"/>
          <w:szCs w:val="22"/>
        </w:rPr>
        <w:t>60%</w:t>
      </w:r>
      <w:proofErr w:type="gramStart"/>
      <w:r w:rsidR="007055F9" w:rsidRPr="00F05837">
        <w:rPr>
          <w:rFonts w:ascii="Sharp Sans Display No1" w:hAnsi="Sharp Sans Display No1"/>
          <w:sz w:val="22"/>
          <w:szCs w:val="22"/>
        </w:rPr>
        <w:t>);</w:t>
      </w:r>
      <w:proofErr w:type="gramEnd"/>
      <w:r w:rsidR="007055F9" w:rsidRPr="00F05837">
        <w:rPr>
          <w:rFonts w:ascii="Sharp Sans Display No1" w:hAnsi="Sharp Sans Display No1"/>
          <w:sz w:val="22"/>
          <w:szCs w:val="22"/>
        </w:rPr>
        <w:t xml:space="preserve"> </w:t>
      </w:r>
    </w:p>
    <w:p w14:paraId="7BED8ABF" w14:textId="0E6DD5B7" w:rsidR="00E647D6" w:rsidRDefault="00E647D6" w:rsidP="00E647D6">
      <w:pPr>
        <w:pStyle w:val="ListParagraph"/>
        <w:numPr>
          <w:ilvl w:val="0"/>
          <w:numId w:val="10"/>
        </w:numPr>
        <w:spacing w:line="300" w:lineRule="atLeast"/>
        <w:rPr>
          <w:rFonts w:ascii="Sharp Sans Display No1" w:hAnsi="Sharp Sans Display No1"/>
          <w:sz w:val="22"/>
          <w:szCs w:val="22"/>
        </w:rPr>
      </w:pPr>
      <w:r>
        <w:rPr>
          <w:rFonts w:ascii="Sharp Sans Display No1" w:hAnsi="Sharp Sans Display No1"/>
          <w:sz w:val="22"/>
          <w:szCs w:val="22"/>
        </w:rPr>
        <w:t>U</w:t>
      </w:r>
      <w:r w:rsidR="007055F9" w:rsidRPr="00F05837">
        <w:rPr>
          <w:rFonts w:ascii="Sharp Sans Display No1" w:hAnsi="Sharp Sans Display No1"/>
          <w:sz w:val="22"/>
          <w:szCs w:val="22"/>
        </w:rPr>
        <w:t>pstream and downstream value</w:t>
      </w:r>
      <w:r w:rsidR="003036E9">
        <w:rPr>
          <w:rFonts w:ascii="Sharp Sans Display No1" w:hAnsi="Sharp Sans Display No1"/>
          <w:sz w:val="22"/>
          <w:szCs w:val="22"/>
        </w:rPr>
        <w:t>-</w:t>
      </w:r>
      <w:r w:rsidR="007055F9" w:rsidRPr="00F05837">
        <w:rPr>
          <w:rFonts w:ascii="Sharp Sans Display No1" w:hAnsi="Sharp Sans Display No1"/>
          <w:sz w:val="22"/>
          <w:szCs w:val="22"/>
        </w:rPr>
        <w:t>chain exposure (15</w:t>
      </w:r>
      <w:r w:rsidR="003036E9">
        <w:rPr>
          <w:rFonts w:ascii="Sharp Sans Display No1" w:hAnsi="Sharp Sans Display No1"/>
          <w:sz w:val="22"/>
          <w:szCs w:val="22"/>
        </w:rPr>
        <w:t>-</w:t>
      </w:r>
      <w:r w:rsidR="007055F9" w:rsidRPr="00F05837">
        <w:rPr>
          <w:rFonts w:ascii="Sharp Sans Display No1" w:hAnsi="Sharp Sans Display No1"/>
          <w:sz w:val="22"/>
          <w:szCs w:val="22"/>
        </w:rPr>
        <w:t>30%</w:t>
      </w:r>
      <w:proofErr w:type="gramStart"/>
      <w:r w:rsidR="007055F9" w:rsidRPr="00F05837">
        <w:rPr>
          <w:rFonts w:ascii="Sharp Sans Display No1" w:hAnsi="Sharp Sans Display No1"/>
          <w:sz w:val="22"/>
          <w:szCs w:val="22"/>
        </w:rPr>
        <w:t>);</w:t>
      </w:r>
      <w:proofErr w:type="gramEnd"/>
      <w:r w:rsidR="007055F9" w:rsidRPr="00F05837">
        <w:rPr>
          <w:rFonts w:ascii="Sharp Sans Display No1" w:hAnsi="Sharp Sans Display No1"/>
          <w:sz w:val="22"/>
          <w:szCs w:val="22"/>
        </w:rPr>
        <w:t xml:space="preserve"> </w:t>
      </w:r>
    </w:p>
    <w:p w14:paraId="1192DEE0" w14:textId="26AC85C1" w:rsidR="00E647D6" w:rsidRDefault="00E647D6" w:rsidP="00E647D6">
      <w:pPr>
        <w:pStyle w:val="ListParagraph"/>
        <w:numPr>
          <w:ilvl w:val="0"/>
          <w:numId w:val="10"/>
        </w:numPr>
        <w:spacing w:line="300" w:lineRule="atLeast"/>
        <w:rPr>
          <w:rFonts w:ascii="Sharp Sans Display No1" w:hAnsi="Sharp Sans Display No1"/>
          <w:sz w:val="22"/>
          <w:szCs w:val="22"/>
        </w:rPr>
      </w:pPr>
      <w:r>
        <w:rPr>
          <w:rFonts w:ascii="Sharp Sans Display No1" w:hAnsi="Sharp Sans Display No1"/>
          <w:sz w:val="22"/>
          <w:szCs w:val="22"/>
        </w:rPr>
        <w:t>C</w:t>
      </w:r>
      <w:r w:rsidR="007055F9" w:rsidRPr="00F05837">
        <w:rPr>
          <w:rFonts w:ascii="Sharp Sans Display No1" w:hAnsi="Sharp Sans Display No1"/>
          <w:sz w:val="22"/>
          <w:szCs w:val="22"/>
        </w:rPr>
        <w:t>ompounds and advanced materials (5</w:t>
      </w:r>
      <w:r w:rsidR="003036E9">
        <w:rPr>
          <w:rFonts w:ascii="Sharp Sans Display No1" w:hAnsi="Sharp Sans Display No1"/>
          <w:sz w:val="22"/>
          <w:szCs w:val="22"/>
        </w:rPr>
        <w:t>-</w:t>
      </w:r>
      <w:r w:rsidR="007055F9" w:rsidRPr="00F05837">
        <w:rPr>
          <w:rFonts w:ascii="Sharp Sans Display No1" w:hAnsi="Sharp Sans Display No1"/>
          <w:sz w:val="22"/>
          <w:szCs w:val="22"/>
        </w:rPr>
        <w:t>15%</w:t>
      </w:r>
      <w:proofErr w:type="gramStart"/>
      <w:r w:rsidR="007055F9" w:rsidRPr="00F05837">
        <w:rPr>
          <w:rFonts w:ascii="Sharp Sans Display No1" w:hAnsi="Sharp Sans Display No1"/>
          <w:sz w:val="22"/>
          <w:szCs w:val="22"/>
        </w:rPr>
        <w:t>);</w:t>
      </w:r>
      <w:proofErr w:type="gramEnd"/>
      <w:r w:rsidR="007055F9" w:rsidRPr="00F05837">
        <w:rPr>
          <w:rFonts w:ascii="Sharp Sans Display No1" w:hAnsi="Sharp Sans Display No1"/>
          <w:sz w:val="22"/>
          <w:szCs w:val="22"/>
        </w:rPr>
        <w:t xml:space="preserve"> </w:t>
      </w:r>
    </w:p>
    <w:p w14:paraId="50DD7AF6" w14:textId="43940066" w:rsidR="00E647D6" w:rsidRDefault="00E647D6" w:rsidP="00E647D6">
      <w:pPr>
        <w:pStyle w:val="ListParagraph"/>
        <w:numPr>
          <w:ilvl w:val="0"/>
          <w:numId w:val="10"/>
        </w:numPr>
        <w:spacing w:line="300" w:lineRule="atLeast"/>
        <w:rPr>
          <w:rFonts w:ascii="Sharp Sans Display No1" w:hAnsi="Sharp Sans Display No1"/>
          <w:sz w:val="22"/>
          <w:szCs w:val="22"/>
        </w:rPr>
      </w:pPr>
      <w:r>
        <w:rPr>
          <w:rFonts w:ascii="Sharp Sans Display No1" w:hAnsi="Sharp Sans Display No1"/>
          <w:sz w:val="22"/>
          <w:szCs w:val="22"/>
        </w:rPr>
        <w:t>R</w:t>
      </w:r>
      <w:r w:rsidR="007055F9" w:rsidRPr="00F05837">
        <w:rPr>
          <w:rFonts w:ascii="Sharp Sans Display No1" w:hAnsi="Sharp Sans Display No1"/>
          <w:sz w:val="22"/>
          <w:szCs w:val="22"/>
        </w:rPr>
        <w:t>ecycling and sustainability solutions (5</w:t>
      </w:r>
      <w:r w:rsidR="003036E9">
        <w:rPr>
          <w:rFonts w:ascii="Sharp Sans Display No1" w:hAnsi="Sharp Sans Display No1"/>
          <w:sz w:val="22"/>
          <w:szCs w:val="22"/>
        </w:rPr>
        <w:t>-</w:t>
      </w:r>
      <w:r w:rsidR="007055F9" w:rsidRPr="00F05837">
        <w:rPr>
          <w:rFonts w:ascii="Sharp Sans Display No1" w:hAnsi="Sharp Sans Display No1"/>
          <w:sz w:val="22"/>
          <w:szCs w:val="22"/>
        </w:rPr>
        <w:t xml:space="preserve">10%). </w:t>
      </w:r>
    </w:p>
    <w:p w14:paraId="188443B3" w14:textId="1FE0273E" w:rsidR="0086558E" w:rsidRPr="00F05837" w:rsidRDefault="007055F9" w:rsidP="00E647D6">
      <w:pPr>
        <w:spacing w:line="300" w:lineRule="atLeast"/>
        <w:rPr>
          <w:rFonts w:ascii="Sharp Sans Display No1" w:hAnsi="Sharp Sans Display No1"/>
          <w:sz w:val="22"/>
          <w:szCs w:val="22"/>
        </w:rPr>
      </w:pPr>
      <w:r w:rsidRPr="00F05837">
        <w:rPr>
          <w:rFonts w:ascii="Sharp Sans Display No1" w:hAnsi="Sharp Sans Display No1"/>
          <w:sz w:val="22"/>
          <w:szCs w:val="22"/>
        </w:rPr>
        <w:t xml:space="preserve">This structure provides diversified exposure across the full </w:t>
      </w:r>
      <w:proofErr w:type="gramStart"/>
      <w:r w:rsidRPr="00F05837">
        <w:rPr>
          <w:rFonts w:ascii="Sharp Sans Display No1" w:hAnsi="Sharp Sans Display No1"/>
          <w:sz w:val="22"/>
          <w:szCs w:val="22"/>
        </w:rPr>
        <w:t>minerals</w:t>
      </w:r>
      <w:proofErr w:type="gramEnd"/>
      <w:r w:rsidRPr="00F05837">
        <w:rPr>
          <w:rFonts w:ascii="Sharp Sans Display No1" w:hAnsi="Sharp Sans Display No1"/>
          <w:sz w:val="22"/>
          <w:szCs w:val="22"/>
        </w:rPr>
        <w:t xml:space="preserve"> ecosystem, rather than reliance on pure</w:t>
      </w:r>
      <w:r w:rsidR="003036E9">
        <w:rPr>
          <w:rFonts w:ascii="Sharp Sans Display No1" w:hAnsi="Sharp Sans Display No1"/>
          <w:sz w:val="22"/>
          <w:szCs w:val="22"/>
        </w:rPr>
        <w:t>-</w:t>
      </w:r>
      <w:r w:rsidRPr="00F05837">
        <w:rPr>
          <w:rFonts w:ascii="Sharp Sans Display No1" w:hAnsi="Sharp Sans Display No1"/>
          <w:sz w:val="22"/>
          <w:szCs w:val="22"/>
        </w:rPr>
        <w:t>play miners alone.</w:t>
      </w:r>
    </w:p>
    <w:p w14:paraId="4909068E" w14:textId="1BEE99EE" w:rsidR="0086558E" w:rsidRDefault="00E647D6" w:rsidP="00F05837">
      <w:pPr>
        <w:spacing w:after="0" w:line="240" w:lineRule="auto"/>
        <w:rPr>
          <w:rFonts w:ascii="Sharp Sans Display No1" w:eastAsia="Times New Roman" w:hAnsi="Sharp Sans Display No1" w:cs="Calibri"/>
          <w:b/>
          <w:bCs/>
          <w:sz w:val="22"/>
          <w:szCs w:val="22"/>
        </w:rPr>
      </w:pPr>
      <w:r w:rsidRPr="00F05837">
        <w:rPr>
          <w:rFonts w:ascii="Sharp Sans Display No1" w:eastAsia="Times New Roman" w:hAnsi="Sharp Sans Display No1" w:cs="Calibri"/>
          <w:b/>
          <w:bCs/>
          <w:sz w:val="22"/>
          <w:szCs w:val="22"/>
        </w:rPr>
        <w:t>O</w:t>
      </w:r>
      <w:r w:rsidR="00A473B7">
        <w:rPr>
          <w:rFonts w:ascii="Sharp Sans Display No1" w:eastAsia="Times New Roman" w:hAnsi="Sharp Sans Display No1" w:cs="Calibri"/>
          <w:b/>
          <w:bCs/>
          <w:sz w:val="22"/>
          <w:szCs w:val="22"/>
        </w:rPr>
        <w:t>utlook for</w:t>
      </w:r>
      <w:r w:rsidRPr="00F05837">
        <w:rPr>
          <w:rFonts w:ascii="Sharp Sans Display No1" w:eastAsia="Times New Roman" w:hAnsi="Sharp Sans Display No1" w:cs="Calibri"/>
          <w:b/>
          <w:bCs/>
          <w:sz w:val="22"/>
          <w:szCs w:val="22"/>
        </w:rPr>
        <w:t xml:space="preserve"> 2026</w:t>
      </w:r>
      <w:r w:rsidR="0086558E" w:rsidRPr="00F05837">
        <w:rPr>
          <w:rFonts w:ascii="Sharp Sans Display No1" w:eastAsia="Times New Roman" w:hAnsi="Sharp Sans Display No1" w:cs="Calibri"/>
          <w:b/>
          <w:bCs/>
          <w:sz w:val="22"/>
          <w:szCs w:val="22"/>
        </w:rPr>
        <w:t xml:space="preserve"> </w:t>
      </w:r>
      <w:r>
        <w:rPr>
          <w:rFonts w:ascii="Sharp Sans Display No1" w:eastAsia="Times New Roman" w:hAnsi="Sharp Sans Display No1" w:cs="Calibri"/>
          <w:b/>
          <w:bCs/>
          <w:sz w:val="22"/>
          <w:szCs w:val="22"/>
        </w:rPr>
        <w:br/>
      </w:r>
    </w:p>
    <w:p w14:paraId="2BDED2AC" w14:textId="0E7B6819" w:rsidR="007055F9" w:rsidRPr="00EA383A" w:rsidRDefault="007055F9" w:rsidP="007055F9">
      <w:pPr>
        <w:spacing w:line="300" w:lineRule="atLeast"/>
        <w:rPr>
          <w:rFonts w:ascii="Sharp Sans Display No1" w:eastAsia="Times New Roman" w:hAnsi="Sharp Sans Display No1" w:cs="Calibri"/>
          <w:sz w:val="22"/>
          <w:szCs w:val="22"/>
        </w:rPr>
      </w:pPr>
      <w:r w:rsidRPr="00184C61">
        <w:rPr>
          <w:rFonts w:ascii="Sharp Sans Display No1" w:eastAsia="Times New Roman" w:hAnsi="Sharp Sans Display No1" w:cs="Calibri"/>
          <w:sz w:val="22"/>
          <w:szCs w:val="22"/>
        </w:rPr>
        <w:t>Despite heightened geopolitical uncertainty, commodity markets performed strongly in 2025</w:t>
      </w:r>
      <w:r w:rsidR="003036E9">
        <w:rPr>
          <w:rFonts w:ascii="Sharp Sans Display No1" w:eastAsia="Times New Roman" w:hAnsi="Sharp Sans Display No1" w:cs="Calibri"/>
          <w:sz w:val="22"/>
          <w:szCs w:val="22"/>
        </w:rPr>
        <w:t>. W</w:t>
      </w:r>
      <w:r w:rsidRPr="00184C61">
        <w:rPr>
          <w:rFonts w:ascii="Sharp Sans Display No1" w:eastAsia="Times New Roman" w:hAnsi="Sharp Sans Display No1" w:cs="Calibri"/>
          <w:sz w:val="22"/>
          <w:szCs w:val="22"/>
        </w:rPr>
        <w:t xml:space="preserve">e </w:t>
      </w:r>
      <w:r w:rsidR="003036E9">
        <w:rPr>
          <w:rFonts w:ascii="Sharp Sans Display No1" w:eastAsia="Times New Roman" w:hAnsi="Sharp Sans Display No1" w:cs="Calibri"/>
          <w:sz w:val="22"/>
          <w:szCs w:val="22"/>
        </w:rPr>
        <w:t>think</w:t>
      </w:r>
      <w:r w:rsidRPr="00184C61">
        <w:rPr>
          <w:rFonts w:ascii="Sharp Sans Display No1" w:eastAsia="Times New Roman" w:hAnsi="Sharp Sans Display No1" w:cs="Calibri"/>
          <w:sz w:val="22"/>
          <w:szCs w:val="22"/>
        </w:rPr>
        <w:t xml:space="preserve"> this momentum </w:t>
      </w:r>
      <w:r w:rsidR="003036E9">
        <w:rPr>
          <w:rFonts w:ascii="Sharp Sans Display No1" w:eastAsia="Times New Roman" w:hAnsi="Sharp Sans Display No1" w:cs="Calibri"/>
          <w:sz w:val="22"/>
          <w:szCs w:val="22"/>
        </w:rPr>
        <w:t xml:space="preserve">will </w:t>
      </w:r>
      <w:r w:rsidRPr="00184C61">
        <w:rPr>
          <w:rFonts w:ascii="Sharp Sans Display No1" w:eastAsia="Times New Roman" w:hAnsi="Sharp Sans Display No1" w:cs="Calibri"/>
          <w:sz w:val="22"/>
          <w:szCs w:val="22"/>
        </w:rPr>
        <w:t>extend into 2026. A broad rotation away from software and growth</w:t>
      </w:r>
      <w:r w:rsidRPr="00184C61">
        <w:rPr>
          <w:rFonts w:ascii="Cambria Math" w:eastAsia="Times New Roman" w:hAnsi="Cambria Math" w:cs="Cambria Math"/>
          <w:sz w:val="22"/>
          <w:szCs w:val="22"/>
        </w:rPr>
        <w:t>‑</w:t>
      </w:r>
      <w:r w:rsidRPr="00184C61">
        <w:rPr>
          <w:rFonts w:ascii="Sharp Sans Display No1" w:eastAsia="Times New Roman" w:hAnsi="Sharp Sans Display No1" w:cs="Calibri"/>
          <w:sz w:val="22"/>
          <w:szCs w:val="22"/>
        </w:rPr>
        <w:t>heavy assets towards hard assets and materials support</w:t>
      </w:r>
      <w:r w:rsidR="003036E9">
        <w:rPr>
          <w:rFonts w:ascii="Sharp Sans Display No1" w:eastAsia="Times New Roman" w:hAnsi="Sharp Sans Display No1" w:cs="Calibri"/>
          <w:sz w:val="22"/>
          <w:szCs w:val="22"/>
        </w:rPr>
        <w:t>s</w:t>
      </w:r>
      <w:r w:rsidRPr="00184C61">
        <w:rPr>
          <w:rFonts w:ascii="Sharp Sans Display No1" w:eastAsia="Times New Roman" w:hAnsi="Sharp Sans Display No1" w:cs="Calibri"/>
          <w:sz w:val="22"/>
          <w:szCs w:val="22"/>
        </w:rPr>
        <w:t xml:space="preserve"> our position. The </w:t>
      </w:r>
      <w:r w:rsidR="00AF1CFF">
        <w:rPr>
          <w:rFonts w:ascii="Sharp Sans Display No1" w:eastAsia="Times New Roman" w:hAnsi="Sharp Sans Display No1" w:cs="Calibri"/>
          <w:sz w:val="22"/>
          <w:szCs w:val="22"/>
        </w:rPr>
        <w:t xml:space="preserve">fund </w:t>
      </w:r>
      <w:r w:rsidRPr="00184C61">
        <w:rPr>
          <w:rFonts w:ascii="Sharp Sans Display No1" w:eastAsia="Times New Roman" w:hAnsi="Sharp Sans Display No1" w:cs="Calibri"/>
          <w:sz w:val="22"/>
          <w:szCs w:val="22"/>
        </w:rPr>
        <w:t xml:space="preserve">currently has around 75% exposure to mining companies — an area </w:t>
      </w:r>
      <w:r w:rsidRPr="00184C61">
        <w:rPr>
          <w:rFonts w:ascii="Sharp Sans Display No1" w:eastAsia="Times New Roman" w:hAnsi="Sharp Sans Display No1" w:cs="Calibri"/>
          <w:sz w:val="22"/>
          <w:szCs w:val="22"/>
        </w:rPr>
        <w:lastRenderedPageBreak/>
        <w:t xml:space="preserve">where investors remain structurally underweight, with basic materials accounting for </w:t>
      </w:r>
      <w:r w:rsidRPr="00EA383A">
        <w:rPr>
          <w:rFonts w:ascii="Sharp Sans Display No1" w:eastAsia="Times New Roman" w:hAnsi="Sharp Sans Display No1" w:cs="Calibri"/>
          <w:sz w:val="22"/>
          <w:szCs w:val="22"/>
        </w:rPr>
        <w:t>just 3.8% of the MSCI A</w:t>
      </w:r>
      <w:r w:rsidR="003036E9" w:rsidRPr="00EA383A">
        <w:rPr>
          <w:rFonts w:ascii="Sharp Sans Display No1" w:eastAsia="Times New Roman" w:hAnsi="Sharp Sans Display No1" w:cs="Calibri"/>
          <w:sz w:val="22"/>
          <w:szCs w:val="22"/>
        </w:rPr>
        <w:t>ll Countries World Index</w:t>
      </w:r>
      <w:r w:rsidRPr="00EA383A">
        <w:rPr>
          <w:rFonts w:ascii="Sharp Sans Display No1" w:eastAsia="Times New Roman" w:hAnsi="Sharp Sans Display No1" w:cs="Calibri"/>
          <w:sz w:val="22"/>
          <w:szCs w:val="22"/>
        </w:rPr>
        <w:t xml:space="preserve"> (Morningstar, 31 January 2026).</w:t>
      </w:r>
    </w:p>
    <w:p w14:paraId="0FD3C235" w14:textId="77777777" w:rsidR="00E702B0" w:rsidRDefault="00E702B0" w:rsidP="00E702B0">
      <w:pPr>
        <w:spacing w:after="0" w:line="240" w:lineRule="auto"/>
        <w:textAlignment w:val="baseline"/>
        <w:rPr>
          <w:rFonts w:ascii="Sharp Sans Display No1" w:eastAsia="Times New Roman" w:hAnsi="Sharp Sans Display No1"/>
          <w:sz w:val="22"/>
          <w:szCs w:val="22"/>
          <w:lang w:eastAsia="en-GB"/>
        </w:rPr>
      </w:pPr>
    </w:p>
    <w:p w14:paraId="60FB7B4C" w14:textId="14972658" w:rsidR="00A473B7" w:rsidRPr="00FF562F" w:rsidRDefault="00A473B7" w:rsidP="00E702B0">
      <w:pPr>
        <w:spacing w:after="0" w:line="240" w:lineRule="auto"/>
        <w:textAlignment w:val="baseline"/>
        <w:rPr>
          <w:rFonts w:ascii="Sharp Sans Display No1" w:eastAsia="Times New Roman" w:hAnsi="Sharp Sans Display No1"/>
          <w:b/>
          <w:bCs/>
          <w:sz w:val="22"/>
          <w:szCs w:val="22"/>
          <w:lang w:eastAsia="en-GB"/>
        </w:rPr>
      </w:pPr>
      <w:r w:rsidRPr="00FF562F">
        <w:rPr>
          <w:rFonts w:ascii="Sharp Sans Display No1" w:eastAsia="Times New Roman" w:hAnsi="Sharp Sans Display No1"/>
          <w:b/>
          <w:bCs/>
          <w:sz w:val="22"/>
          <w:szCs w:val="22"/>
          <w:lang w:eastAsia="en-GB"/>
        </w:rPr>
        <w:t>Opportunities</w:t>
      </w:r>
    </w:p>
    <w:p w14:paraId="1E44E5FB" w14:textId="48A337D3" w:rsidR="007055F9" w:rsidRPr="00184C61" w:rsidRDefault="007055F9" w:rsidP="007055F9">
      <w:pPr>
        <w:spacing w:line="300" w:lineRule="atLeast"/>
        <w:rPr>
          <w:rFonts w:ascii="Sharp Sans Display No1" w:eastAsia="Times New Roman" w:hAnsi="Sharp Sans Display No1" w:cs="Calibri"/>
          <w:sz w:val="22"/>
          <w:szCs w:val="22"/>
        </w:rPr>
      </w:pPr>
      <w:r w:rsidRPr="00EA383A">
        <w:rPr>
          <w:rFonts w:ascii="Sharp Sans Display No1" w:eastAsia="Times New Roman" w:hAnsi="Sharp Sans Display No1" w:cs="Calibri"/>
          <w:sz w:val="22"/>
          <w:szCs w:val="22"/>
        </w:rPr>
        <w:t xml:space="preserve">In </w:t>
      </w:r>
      <w:r w:rsidR="00E647D6" w:rsidRPr="00EA383A">
        <w:rPr>
          <w:rFonts w:ascii="Sharp Sans Display No1" w:eastAsia="Times New Roman" w:hAnsi="Sharp Sans Display No1" w:cs="Calibri"/>
          <w:sz w:val="22"/>
          <w:szCs w:val="22"/>
        </w:rPr>
        <w:t>a</w:t>
      </w:r>
      <w:r w:rsidRPr="00EA383A">
        <w:rPr>
          <w:rFonts w:ascii="Sharp Sans Display No1" w:eastAsia="Times New Roman" w:hAnsi="Sharp Sans Display No1" w:cs="Calibri"/>
          <w:sz w:val="22"/>
          <w:szCs w:val="22"/>
        </w:rPr>
        <w:t xml:space="preserve"> concentrated global</w:t>
      </w:r>
      <w:r w:rsidR="003036E9" w:rsidRPr="00EA383A">
        <w:rPr>
          <w:rFonts w:ascii="Sharp Sans Display No1" w:eastAsia="Times New Roman" w:hAnsi="Sharp Sans Display No1" w:cs="Calibri"/>
          <w:sz w:val="22"/>
          <w:szCs w:val="22"/>
        </w:rPr>
        <w:t>-</w:t>
      </w:r>
      <w:r w:rsidRPr="00EA383A">
        <w:rPr>
          <w:rFonts w:ascii="Sharp Sans Display No1" w:eastAsia="Times New Roman" w:hAnsi="Sharp Sans Display No1" w:cs="Calibri"/>
          <w:sz w:val="22"/>
          <w:szCs w:val="22"/>
        </w:rPr>
        <w:t xml:space="preserve">equity market, the </w:t>
      </w:r>
      <w:r w:rsidR="00AF1CFF" w:rsidRPr="00EA383A">
        <w:rPr>
          <w:rFonts w:ascii="Sharp Sans Display No1" w:eastAsia="Times New Roman" w:hAnsi="Sharp Sans Display No1" w:cs="Calibri"/>
          <w:sz w:val="22"/>
          <w:szCs w:val="22"/>
        </w:rPr>
        <w:t>fund</w:t>
      </w:r>
      <w:r w:rsidR="001D1FD6" w:rsidRPr="00EA383A">
        <w:rPr>
          <w:rFonts w:ascii="Sharp Sans Display No1" w:eastAsia="Times New Roman" w:hAnsi="Sharp Sans Display No1" w:cs="Calibri"/>
          <w:sz w:val="22"/>
          <w:szCs w:val="22"/>
        </w:rPr>
        <w:t xml:space="preserve"> </w:t>
      </w:r>
      <w:r w:rsidRPr="00EA383A">
        <w:rPr>
          <w:rFonts w:ascii="Sharp Sans Display No1" w:eastAsia="Times New Roman" w:hAnsi="Sharp Sans Display No1" w:cs="Calibri"/>
          <w:sz w:val="22"/>
          <w:szCs w:val="22"/>
        </w:rPr>
        <w:t>offers diversification</w:t>
      </w:r>
      <w:r w:rsidRPr="00184C61">
        <w:rPr>
          <w:rFonts w:ascii="Sharp Sans Display No1" w:eastAsia="Times New Roman" w:hAnsi="Sharp Sans Display No1" w:cs="Calibri"/>
          <w:sz w:val="22"/>
          <w:szCs w:val="22"/>
        </w:rPr>
        <w:t xml:space="preserve"> through </w:t>
      </w:r>
      <w:r w:rsidR="003A6D35">
        <w:rPr>
          <w:rFonts w:ascii="Sharp Sans Display No1" w:eastAsia="Times New Roman" w:hAnsi="Sharp Sans Display No1" w:cs="Calibri"/>
          <w:sz w:val="22"/>
          <w:szCs w:val="22"/>
        </w:rPr>
        <w:t xml:space="preserve">low </w:t>
      </w:r>
      <w:r w:rsidR="00E647D6">
        <w:rPr>
          <w:rFonts w:ascii="Sharp Sans Display No1" w:eastAsia="Times New Roman" w:hAnsi="Sharp Sans Display No1" w:cs="Calibri"/>
          <w:sz w:val="22"/>
          <w:szCs w:val="22"/>
        </w:rPr>
        <w:t>US</w:t>
      </w:r>
      <w:r w:rsidR="00E647D6" w:rsidRPr="00184C61">
        <w:rPr>
          <w:rFonts w:ascii="Sharp Sans Display No1" w:eastAsia="Times New Roman" w:hAnsi="Sharp Sans Display No1" w:cs="Calibri"/>
          <w:sz w:val="22"/>
          <w:szCs w:val="22"/>
        </w:rPr>
        <w:t xml:space="preserve"> </w:t>
      </w:r>
      <w:r w:rsidRPr="00184C61">
        <w:rPr>
          <w:rFonts w:ascii="Sharp Sans Display No1" w:eastAsia="Times New Roman" w:hAnsi="Sharp Sans Display No1" w:cs="Calibri"/>
          <w:sz w:val="22"/>
          <w:szCs w:val="22"/>
        </w:rPr>
        <w:t xml:space="preserve">exposure and minimal exposure to technology — two areas </w:t>
      </w:r>
      <w:r w:rsidR="003036E9">
        <w:rPr>
          <w:rFonts w:ascii="Sharp Sans Display No1" w:eastAsia="Times New Roman" w:hAnsi="Sharp Sans Display No1" w:cs="Calibri"/>
          <w:sz w:val="22"/>
          <w:szCs w:val="22"/>
        </w:rPr>
        <w:t xml:space="preserve">that </w:t>
      </w:r>
      <w:r w:rsidRPr="00184C61">
        <w:rPr>
          <w:rFonts w:ascii="Sharp Sans Display No1" w:eastAsia="Times New Roman" w:hAnsi="Sharp Sans Display No1" w:cs="Calibri"/>
          <w:sz w:val="22"/>
          <w:szCs w:val="22"/>
        </w:rPr>
        <w:t>dominat</w:t>
      </w:r>
      <w:r w:rsidR="003036E9">
        <w:rPr>
          <w:rFonts w:ascii="Sharp Sans Display No1" w:eastAsia="Times New Roman" w:hAnsi="Sharp Sans Display No1" w:cs="Calibri"/>
          <w:sz w:val="22"/>
          <w:szCs w:val="22"/>
        </w:rPr>
        <w:t>e</w:t>
      </w:r>
      <w:r w:rsidRPr="00184C61">
        <w:rPr>
          <w:rFonts w:ascii="Sharp Sans Display No1" w:eastAsia="Times New Roman" w:hAnsi="Sharp Sans Display No1" w:cs="Calibri"/>
          <w:sz w:val="22"/>
          <w:szCs w:val="22"/>
        </w:rPr>
        <w:t xml:space="preserve"> global indices.</w:t>
      </w:r>
      <w:r w:rsidR="003A6D35">
        <w:rPr>
          <w:rFonts w:ascii="Sharp Sans Display No1" w:eastAsia="Times New Roman" w:hAnsi="Sharp Sans Display No1" w:cs="Calibri"/>
          <w:sz w:val="22"/>
          <w:szCs w:val="22"/>
        </w:rPr>
        <w:t xml:space="preserve"> </w:t>
      </w:r>
    </w:p>
    <w:p w14:paraId="2D70C9B4" w14:textId="7E7D23F5" w:rsidR="003036E9" w:rsidRDefault="007055F9" w:rsidP="007055F9">
      <w:pPr>
        <w:spacing w:line="300" w:lineRule="atLeast"/>
        <w:rPr>
          <w:rFonts w:ascii="Sharp Sans Display No1" w:eastAsia="Times New Roman" w:hAnsi="Sharp Sans Display No1" w:cs="Calibri"/>
          <w:sz w:val="22"/>
          <w:szCs w:val="22"/>
        </w:rPr>
      </w:pPr>
      <w:r w:rsidRPr="00184C61">
        <w:rPr>
          <w:rFonts w:ascii="Sharp Sans Display No1" w:eastAsia="Times New Roman" w:hAnsi="Sharp Sans Display No1" w:cs="Calibri"/>
          <w:sz w:val="22"/>
          <w:szCs w:val="22"/>
        </w:rPr>
        <w:t>Structural demand drivers are also becoming more visible. Electrification, renewable energy deployment, grid upgrades and rapid AI adoption are increasing global energy intensity</w:t>
      </w:r>
      <w:r w:rsidR="003036E9">
        <w:rPr>
          <w:rFonts w:ascii="Sharp Sans Display No1" w:eastAsia="Times New Roman" w:hAnsi="Sharp Sans Display No1" w:cs="Calibri"/>
          <w:sz w:val="22"/>
          <w:szCs w:val="22"/>
        </w:rPr>
        <w:t>. C</w:t>
      </w:r>
      <w:r w:rsidRPr="00184C61">
        <w:rPr>
          <w:rFonts w:ascii="Sharp Sans Display No1" w:eastAsia="Times New Roman" w:hAnsi="Sharp Sans Display No1" w:cs="Calibri"/>
          <w:sz w:val="22"/>
          <w:szCs w:val="22"/>
        </w:rPr>
        <w:t xml:space="preserve">opper </w:t>
      </w:r>
      <w:r w:rsidR="003036E9">
        <w:rPr>
          <w:rFonts w:ascii="Sharp Sans Display No1" w:eastAsia="Times New Roman" w:hAnsi="Sharp Sans Display No1" w:cs="Calibri"/>
          <w:sz w:val="22"/>
          <w:szCs w:val="22"/>
        </w:rPr>
        <w:t xml:space="preserve">is </w:t>
      </w:r>
      <w:r w:rsidRPr="00184C61">
        <w:rPr>
          <w:rFonts w:ascii="Sharp Sans Display No1" w:eastAsia="Times New Roman" w:hAnsi="Sharp Sans Display No1" w:cs="Calibri"/>
          <w:sz w:val="22"/>
          <w:szCs w:val="22"/>
        </w:rPr>
        <w:t>central to t</w:t>
      </w:r>
      <w:r w:rsidR="003036E9">
        <w:rPr>
          <w:rFonts w:ascii="Sharp Sans Display No1" w:eastAsia="Times New Roman" w:hAnsi="Sharp Sans Display No1" w:cs="Calibri"/>
          <w:sz w:val="22"/>
          <w:szCs w:val="22"/>
        </w:rPr>
        <w:t>his demand</w:t>
      </w:r>
      <w:r w:rsidRPr="00184C61">
        <w:rPr>
          <w:rFonts w:ascii="Sharp Sans Display No1" w:eastAsia="Times New Roman" w:hAnsi="Sharp Sans Display No1" w:cs="Calibri"/>
          <w:sz w:val="22"/>
          <w:szCs w:val="22"/>
        </w:rPr>
        <w:t>.</w:t>
      </w:r>
      <w:r w:rsidR="003A6D35">
        <w:rPr>
          <w:rFonts w:eastAsia="Times New Roman"/>
          <w:color w:val="000000"/>
        </w:rPr>
        <w:t xml:space="preserve"> </w:t>
      </w:r>
      <w:r w:rsidR="003A6D35" w:rsidRPr="00FF562F">
        <w:rPr>
          <w:rFonts w:ascii="Sharp Sans Display No1" w:eastAsia="Times New Roman" w:hAnsi="Sharp Sans Display No1" w:cs="Calibri"/>
          <w:sz w:val="22"/>
          <w:szCs w:val="22"/>
        </w:rPr>
        <w:t>Recent geopolitical tensions in the Middle East have further underscored the strategic importance of these minerals</w:t>
      </w:r>
      <w:r w:rsidR="00FF562F">
        <w:rPr>
          <w:rFonts w:ascii="Sharp Sans Display No1" w:eastAsia="Times New Roman" w:hAnsi="Sharp Sans Display No1" w:cs="Calibri"/>
          <w:sz w:val="22"/>
          <w:szCs w:val="22"/>
        </w:rPr>
        <w:t xml:space="preserve">. They </w:t>
      </w:r>
      <w:r w:rsidR="003A6D35" w:rsidRPr="00FF562F">
        <w:rPr>
          <w:rFonts w:ascii="Sharp Sans Display No1" w:eastAsia="Times New Roman" w:hAnsi="Sharp Sans Display No1" w:cs="Calibri"/>
          <w:sz w:val="22"/>
          <w:szCs w:val="22"/>
        </w:rPr>
        <w:t>reinforc</w:t>
      </w:r>
      <w:r w:rsidR="00FF562F">
        <w:rPr>
          <w:rFonts w:ascii="Sharp Sans Display No1" w:eastAsia="Times New Roman" w:hAnsi="Sharp Sans Display No1" w:cs="Calibri"/>
          <w:sz w:val="22"/>
          <w:szCs w:val="22"/>
        </w:rPr>
        <w:t>e</w:t>
      </w:r>
      <w:r w:rsidR="003A6D35" w:rsidRPr="00FF562F">
        <w:rPr>
          <w:rFonts w:ascii="Sharp Sans Display No1" w:eastAsia="Times New Roman" w:hAnsi="Sharp Sans Display No1" w:cs="Calibri"/>
          <w:sz w:val="22"/>
          <w:szCs w:val="22"/>
        </w:rPr>
        <w:t xml:space="preserve"> electrification and renewable energy as key pathways to greater energy security and reduced reliance on oil and third</w:t>
      </w:r>
      <w:r w:rsidR="00FF562F">
        <w:rPr>
          <w:rFonts w:ascii="Sharp Sans Display No1" w:eastAsia="Times New Roman" w:hAnsi="Sharp Sans Display No1" w:cs="Calibri"/>
          <w:sz w:val="22"/>
          <w:szCs w:val="22"/>
        </w:rPr>
        <w:t>-</w:t>
      </w:r>
      <w:r w:rsidR="003A6D35" w:rsidRPr="00FF562F">
        <w:rPr>
          <w:rFonts w:ascii="Sharp Sans Display No1" w:eastAsia="Times New Roman" w:hAnsi="Sharp Sans Display No1" w:cs="Calibri"/>
          <w:sz w:val="22"/>
          <w:szCs w:val="22"/>
        </w:rPr>
        <w:t>party energy sources.</w:t>
      </w:r>
    </w:p>
    <w:p w14:paraId="0D15FA8E" w14:textId="18EA775D" w:rsidR="007055F9" w:rsidRPr="00184C61" w:rsidRDefault="007055F9" w:rsidP="007055F9">
      <w:pPr>
        <w:spacing w:line="300" w:lineRule="atLeast"/>
        <w:rPr>
          <w:rFonts w:ascii="Sharp Sans Display No1" w:eastAsia="Times New Roman" w:hAnsi="Sharp Sans Display No1" w:cs="Calibri"/>
          <w:sz w:val="22"/>
          <w:szCs w:val="22"/>
        </w:rPr>
      </w:pPr>
      <w:r w:rsidRPr="00184C61">
        <w:rPr>
          <w:rFonts w:ascii="Sharp Sans Display No1" w:eastAsia="Times New Roman" w:hAnsi="Sharp Sans Display No1" w:cs="Calibri"/>
          <w:sz w:val="22"/>
          <w:szCs w:val="22"/>
        </w:rPr>
        <w:t xml:space="preserve">Data centres currently account for around </w:t>
      </w:r>
      <w:r w:rsidR="00184C61" w:rsidRPr="00184C61">
        <w:rPr>
          <w:rFonts w:ascii="Sharp Sans Display No1" w:eastAsia="Times New Roman" w:hAnsi="Sharp Sans Display No1" w:cs="Calibri"/>
          <w:sz w:val="22"/>
          <w:szCs w:val="22"/>
        </w:rPr>
        <w:t>3</w:t>
      </w:r>
      <w:r w:rsidRPr="00184C61">
        <w:rPr>
          <w:rFonts w:ascii="Sharp Sans Display No1" w:eastAsia="Times New Roman" w:hAnsi="Sharp Sans Display No1" w:cs="Calibri"/>
          <w:sz w:val="22"/>
          <w:szCs w:val="22"/>
        </w:rPr>
        <w:t xml:space="preserve">% of </w:t>
      </w:r>
      <w:r w:rsidR="00184C61" w:rsidRPr="00184C61">
        <w:rPr>
          <w:rFonts w:ascii="Sharp Sans Display No1" w:eastAsia="Times New Roman" w:hAnsi="Sharp Sans Display No1" w:cs="Calibri"/>
          <w:sz w:val="22"/>
          <w:szCs w:val="22"/>
        </w:rPr>
        <w:t>US</w:t>
      </w:r>
      <w:r w:rsidRPr="00184C61">
        <w:rPr>
          <w:rFonts w:ascii="Sharp Sans Display No1" w:eastAsia="Times New Roman" w:hAnsi="Sharp Sans Display No1" w:cs="Calibri"/>
          <w:sz w:val="22"/>
          <w:szCs w:val="22"/>
        </w:rPr>
        <w:t xml:space="preserve"> energy consumption, a figure projected to </w:t>
      </w:r>
      <w:r w:rsidR="00184C61" w:rsidRPr="00184C61">
        <w:rPr>
          <w:rFonts w:ascii="Sharp Sans Display No1" w:eastAsia="Times New Roman" w:hAnsi="Sharp Sans Display No1" w:cs="Calibri"/>
          <w:sz w:val="22"/>
          <w:szCs w:val="22"/>
        </w:rPr>
        <w:t xml:space="preserve">increase to </w:t>
      </w:r>
      <w:r w:rsidR="00816102">
        <w:rPr>
          <w:rFonts w:ascii="Sharp Sans Display No1" w:eastAsia="Times New Roman" w:hAnsi="Sharp Sans Display No1" w:cs="Calibri"/>
          <w:sz w:val="22"/>
          <w:szCs w:val="22"/>
        </w:rPr>
        <w:t xml:space="preserve">around </w:t>
      </w:r>
      <w:r w:rsidR="00184C61" w:rsidRPr="00184C61">
        <w:rPr>
          <w:rFonts w:ascii="Sharp Sans Display No1" w:eastAsia="Times New Roman" w:hAnsi="Sharp Sans Display No1" w:cs="Calibri"/>
          <w:sz w:val="22"/>
          <w:szCs w:val="22"/>
        </w:rPr>
        <w:t>12%</w:t>
      </w:r>
      <w:r w:rsidRPr="00184C61">
        <w:rPr>
          <w:rFonts w:ascii="Sharp Sans Display No1" w:eastAsia="Times New Roman" w:hAnsi="Sharp Sans Display No1" w:cs="Calibri"/>
          <w:sz w:val="22"/>
          <w:szCs w:val="22"/>
        </w:rPr>
        <w:t xml:space="preserve"> by 203</w:t>
      </w:r>
      <w:r w:rsidR="00184C61" w:rsidRPr="00184C61">
        <w:rPr>
          <w:rFonts w:ascii="Sharp Sans Display No1" w:eastAsia="Times New Roman" w:hAnsi="Sharp Sans Display No1" w:cs="Calibri"/>
          <w:sz w:val="22"/>
          <w:szCs w:val="22"/>
        </w:rPr>
        <w:t>0</w:t>
      </w:r>
      <w:r w:rsidRPr="00184C61">
        <w:rPr>
          <w:rFonts w:ascii="Sharp Sans Display No1" w:eastAsia="Times New Roman" w:hAnsi="Sharp Sans Display No1" w:cs="Calibri"/>
          <w:sz w:val="22"/>
          <w:szCs w:val="22"/>
        </w:rPr>
        <w:t xml:space="preserve"> (</w:t>
      </w:r>
      <w:r w:rsidR="00184C61" w:rsidRPr="00184C61">
        <w:rPr>
          <w:rFonts w:ascii="Sharp Sans Display No1" w:eastAsia="Times New Roman" w:hAnsi="Sharp Sans Display No1" w:cs="Calibri"/>
          <w:sz w:val="22"/>
          <w:szCs w:val="22"/>
        </w:rPr>
        <w:t>McKinsey, 2024</w:t>
      </w:r>
      <w:r w:rsidRPr="00184C61">
        <w:rPr>
          <w:rFonts w:ascii="Sharp Sans Display No1" w:eastAsia="Times New Roman" w:hAnsi="Sharp Sans Display No1" w:cs="Calibri"/>
          <w:sz w:val="22"/>
          <w:szCs w:val="22"/>
        </w:rPr>
        <w:t>). Meeting this demand reinforces the need for both clean energy infrastructure and the minerals required to build it.</w:t>
      </w:r>
      <w:r w:rsidR="0099141F" w:rsidRPr="00184C61">
        <w:rPr>
          <w:rFonts w:ascii="Sharp Sans Display No1" w:eastAsia="Times New Roman" w:hAnsi="Sharp Sans Display No1" w:cs="Calibri"/>
          <w:sz w:val="22"/>
          <w:szCs w:val="22"/>
        </w:rPr>
        <w:t xml:space="preserve"> </w:t>
      </w:r>
    </w:p>
    <w:p w14:paraId="79CC057E" w14:textId="18B245D0" w:rsidR="004A75D6" w:rsidRPr="00184C61" w:rsidRDefault="007055F9" w:rsidP="007055F9">
      <w:pPr>
        <w:spacing w:line="300" w:lineRule="atLeast"/>
        <w:rPr>
          <w:rFonts w:ascii="Sharp Sans Display No1" w:hAnsi="Sharp Sans Display No1" w:cs="Segoe UI"/>
          <w:i/>
          <w:iCs/>
          <w:color w:val="FF0000"/>
          <w:sz w:val="22"/>
          <w:szCs w:val="22"/>
        </w:rPr>
      </w:pPr>
      <w:r w:rsidRPr="00184C61">
        <w:rPr>
          <w:rFonts w:ascii="Sharp Sans Display No1" w:hAnsi="Sharp Sans Display No1" w:cs="Segoe UI"/>
          <w:sz w:val="22"/>
          <w:szCs w:val="22"/>
        </w:rPr>
        <w:t xml:space="preserve">Geopolitics adds </w:t>
      </w:r>
      <w:r w:rsidR="00816102">
        <w:rPr>
          <w:rFonts w:ascii="Sharp Sans Display No1" w:hAnsi="Sharp Sans Display No1" w:cs="Segoe UI"/>
          <w:sz w:val="22"/>
          <w:szCs w:val="22"/>
        </w:rPr>
        <w:t xml:space="preserve">further </w:t>
      </w:r>
      <w:r w:rsidRPr="00184C61">
        <w:rPr>
          <w:rFonts w:ascii="Sharp Sans Display No1" w:hAnsi="Sharp Sans Display No1" w:cs="Segoe UI"/>
          <w:sz w:val="22"/>
          <w:szCs w:val="22"/>
        </w:rPr>
        <w:t>opportunit</w:t>
      </w:r>
      <w:r w:rsidR="003036E9">
        <w:rPr>
          <w:rFonts w:ascii="Sharp Sans Display No1" w:hAnsi="Sharp Sans Display No1" w:cs="Segoe UI"/>
          <w:sz w:val="22"/>
          <w:szCs w:val="22"/>
        </w:rPr>
        <w:t>ies</w:t>
      </w:r>
      <w:r w:rsidRPr="00184C61">
        <w:rPr>
          <w:rFonts w:ascii="Sharp Sans Display No1" w:hAnsi="Sharp Sans Display No1" w:cs="Segoe UI"/>
          <w:sz w:val="22"/>
          <w:szCs w:val="22"/>
        </w:rPr>
        <w:t xml:space="preserve">. Many critical materials, including rare earths, remain highly concentrated in China. Efforts by the US and EU to diversify supply chains are accelerating, </w:t>
      </w:r>
      <w:r w:rsidR="003036E9">
        <w:rPr>
          <w:rFonts w:ascii="Sharp Sans Display No1" w:hAnsi="Sharp Sans Display No1" w:cs="Segoe UI"/>
          <w:sz w:val="22"/>
          <w:szCs w:val="22"/>
        </w:rPr>
        <w:t xml:space="preserve">which </w:t>
      </w:r>
      <w:r w:rsidRPr="00184C61">
        <w:rPr>
          <w:rFonts w:ascii="Sharp Sans Display No1" w:hAnsi="Sharp Sans Display No1" w:cs="Segoe UI"/>
          <w:sz w:val="22"/>
          <w:szCs w:val="22"/>
        </w:rPr>
        <w:t>creat</w:t>
      </w:r>
      <w:r w:rsidR="003036E9">
        <w:rPr>
          <w:rFonts w:ascii="Sharp Sans Display No1" w:hAnsi="Sharp Sans Display No1" w:cs="Segoe UI"/>
          <w:sz w:val="22"/>
          <w:szCs w:val="22"/>
        </w:rPr>
        <w:t>es</w:t>
      </w:r>
      <w:r w:rsidRPr="00184C61">
        <w:rPr>
          <w:rFonts w:ascii="Sharp Sans Display No1" w:hAnsi="Sharp Sans Display No1" w:cs="Segoe UI"/>
          <w:sz w:val="22"/>
          <w:szCs w:val="22"/>
        </w:rPr>
        <w:t xml:space="preserve"> opportunities in regions </w:t>
      </w:r>
      <w:r w:rsidR="003036E9">
        <w:rPr>
          <w:rFonts w:ascii="Sharp Sans Display No1" w:hAnsi="Sharp Sans Display No1" w:cs="Segoe UI"/>
          <w:sz w:val="22"/>
          <w:szCs w:val="22"/>
        </w:rPr>
        <w:t>that are trying</w:t>
      </w:r>
      <w:r w:rsidRPr="00184C61">
        <w:rPr>
          <w:rFonts w:ascii="Sharp Sans Display No1" w:hAnsi="Sharp Sans Display No1" w:cs="Segoe UI"/>
          <w:sz w:val="22"/>
          <w:szCs w:val="22"/>
        </w:rPr>
        <w:t xml:space="preserve"> to de</w:t>
      </w:r>
      <w:r w:rsidR="003036E9">
        <w:rPr>
          <w:rFonts w:ascii="Sharp Sans Display No1" w:hAnsi="Sharp Sans Display No1" w:cs="Segoe UI"/>
          <w:sz w:val="22"/>
          <w:szCs w:val="22"/>
        </w:rPr>
        <w:t>-</w:t>
      </w:r>
      <w:r w:rsidRPr="00184C61">
        <w:rPr>
          <w:rFonts w:ascii="Sharp Sans Display No1" w:hAnsi="Sharp Sans Display No1" w:cs="Segoe UI"/>
          <w:sz w:val="22"/>
          <w:szCs w:val="22"/>
        </w:rPr>
        <w:t xml:space="preserve">risk their mineral value chains. MP Materials, the </w:t>
      </w:r>
      <w:r w:rsidR="00AF1CFF">
        <w:rPr>
          <w:rFonts w:ascii="Sharp Sans Display No1" w:hAnsi="Sharp Sans Display No1" w:cs="Segoe UI"/>
          <w:sz w:val="22"/>
          <w:szCs w:val="22"/>
        </w:rPr>
        <w:t>fund</w:t>
      </w:r>
      <w:r w:rsidR="001D1FD6">
        <w:rPr>
          <w:rFonts w:ascii="Sharp Sans Display No1" w:hAnsi="Sharp Sans Display No1" w:cs="Segoe UI"/>
          <w:sz w:val="22"/>
          <w:szCs w:val="22"/>
        </w:rPr>
        <w:t>’s</w:t>
      </w:r>
      <w:r w:rsidRPr="00184C61">
        <w:rPr>
          <w:rFonts w:ascii="Sharp Sans Display No1" w:hAnsi="Sharp Sans Display No1" w:cs="Segoe UI"/>
          <w:sz w:val="22"/>
          <w:szCs w:val="22"/>
        </w:rPr>
        <w:t xml:space="preserve"> top contributor in 2025, </w:t>
      </w:r>
      <w:r w:rsidR="00816102">
        <w:rPr>
          <w:rFonts w:ascii="Sharp Sans Display No1" w:hAnsi="Sharp Sans Display No1" w:cs="Segoe UI"/>
          <w:sz w:val="22"/>
          <w:szCs w:val="22"/>
        </w:rPr>
        <w:t>illustrates</w:t>
      </w:r>
      <w:r w:rsidRPr="00184C61">
        <w:rPr>
          <w:rFonts w:ascii="Sharp Sans Display No1" w:hAnsi="Sharp Sans Display No1" w:cs="Segoe UI"/>
          <w:sz w:val="22"/>
          <w:szCs w:val="22"/>
        </w:rPr>
        <w:t xml:space="preserve"> this trend, and we expect further ex</w:t>
      </w:r>
      <w:r w:rsidR="003036E9">
        <w:rPr>
          <w:rFonts w:ascii="Sharp Sans Display No1" w:hAnsi="Sharp Sans Display No1" w:cs="Segoe UI"/>
          <w:sz w:val="22"/>
          <w:szCs w:val="22"/>
        </w:rPr>
        <w:t>-</w:t>
      </w:r>
      <w:r w:rsidRPr="00184C61">
        <w:rPr>
          <w:rFonts w:ascii="Sharp Sans Display No1" w:hAnsi="Sharp Sans Display No1" w:cs="Segoe UI"/>
          <w:sz w:val="22"/>
          <w:szCs w:val="22"/>
        </w:rPr>
        <w:t xml:space="preserve">China </w:t>
      </w:r>
      <w:r w:rsidR="00816102">
        <w:rPr>
          <w:rFonts w:ascii="Sharp Sans Display No1" w:hAnsi="Sharp Sans Display No1" w:cs="Segoe UI"/>
          <w:sz w:val="22"/>
          <w:szCs w:val="22"/>
        </w:rPr>
        <w:t>beneficiaries</w:t>
      </w:r>
      <w:r w:rsidR="00816102" w:rsidRPr="00184C61">
        <w:rPr>
          <w:rFonts w:ascii="Sharp Sans Display No1" w:hAnsi="Sharp Sans Display No1" w:cs="Segoe UI"/>
          <w:sz w:val="22"/>
          <w:szCs w:val="22"/>
        </w:rPr>
        <w:t xml:space="preserve"> </w:t>
      </w:r>
      <w:r w:rsidRPr="00184C61">
        <w:rPr>
          <w:rFonts w:ascii="Sharp Sans Display No1" w:hAnsi="Sharp Sans Display No1" w:cs="Segoe UI"/>
          <w:sz w:val="22"/>
          <w:szCs w:val="22"/>
        </w:rPr>
        <w:t xml:space="preserve">to emerge </w:t>
      </w:r>
      <w:r w:rsidR="003036E9">
        <w:rPr>
          <w:rFonts w:ascii="Sharp Sans Display No1" w:hAnsi="Sharp Sans Display No1" w:cs="Segoe UI"/>
          <w:sz w:val="22"/>
          <w:szCs w:val="22"/>
        </w:rPr>
        <w:t>during</w:t>
      </w:r>
      <w:r w:rsidRPr="00184C61">
        <w:rPr>
          <w:rFonts w:ascii="Sharp Sans Display No1" w:hAnsi="Sharp Sans Display No1" w:cs="Segoe UI"/>
          <w:sz w:val="22"/>
          <w:szCs w:val="22"/>
        </w:rPr>
        <w:t xml:space="preserve"> 2026</w:t>
      </w:r>
      <w:r w:rsidR="00E901CC" w:rsidRPr="00184C61">
        <w:rPr>
          <w:rFonts w:ascii="Sharp Sans Display No1" w:hAnsi="Sharp Sans Display No1" w:cs="Segoe UI"/>
          <w:i/>
          <w:iCs/>
          <w:color w:val="FF0000"/>
          <w:sz w:val="22"/>
          <w:szCs w:val="22"/>
        </w:rPr>
        <w:t xml:space="preserve">. </w:t>
      </w:r>
    </w:p>
    <w:p w14:paraId="5CD9E323" w14:textId="7D31E42F" w:rsidR="0099141F" w:rsidRPr="00184C61" w:rsidRDefault="0099141F" w:rsidP="007055F9">
      <w:pPr>
        <w:spacing w:line="300" w:lineRule="atLeast"/>
        <w:rPr>
          <w:rFonts w:ascii="Sharp Sans Display No1" w:eastAsia="Times New Roman" w:hAnsi="Sharp Sans Display No1" w:cs="Calibri"/>
          <w:sz w:val="22"/>
          <w:szCs w:val="22"/>
        </w:rPr>
      </w:pPr>
      <w:r w:rsidRPr="00184C61">
        <w:rPr>
          <w:rFonts w:ascii="Sharp Sans Display No1" w:eastAsia="Times New Roman" w:hAnsi="Sharp Sans Display No1" w:cs="Calibri"/>
          <w:sz w:val="22"/>
          <w:szCs w:val="22"/>
        </w:rPr>
        <w:t>While commodit</w:t>
      </w:r>
      <w:r w:rsidR="001D1FD6">
        <w:rPr>
          <w:rFonts w:ascii="Sharp Sans Display No1" w:eastAsia="Times New Roman" w:hAnsi="Sharp Sans Display No1" w:cs="Calibri"/>
          <w:sz w:val="22"/>
          <w:szCs w:val="22"/>
        </w:rPr>
        <w:t>y</w:t>
      </w:r>
      <w:r w:rsidRPr="00184C61">
        <w:rPr>
          <w:rFonts w:ascii="Sharp Sans Display No1" w:eastAsia="Times New Roman" w:hAnsi="Sharp Sans Display No1" w:cs="Calibri"/>
          <w:sz w:val="22"/>
          <w:szCs w:val="22"/>
        </w:rPr>
        <w:t xml:space="preserve"> markets can be volatile and short</w:t>
      </w:r>
      <w:r w:rsidR="00816102">
        <w:rPr>
          <w:rFonts w:ascii="Sharp Sans Display No1" w:eastAsia="Times New Roman" w:hAnsi="Sharp Sans Display No1" w:cs="Calibri"/>
          <w:sz w:val="22"/>
          <w:szCs w:val="22"/>
        </w:rPr>
        <w:t>-</w:t>
      </w:r>
      <w:r w:rsidRPr="00184C61">
        <w:rPr>
          <w:rFonts w:ascii="Sharp Sans Display No1" w:eastAsia="Times New Roman" w:hAnsi="Sharp Sans Display No1" w:cs="Calibri"/>
          <w:sz w:val="22"/>
          <w:szCs w:val="22"/>
        </w:rPr>
        <w:t>term cyclicality is to be expected, we believe the long</w:t>
      </w:r>
      <w:r w:rsidR="003036E9">
        <w:rPr>
          <w:rFonts w:ascii="Sharp Sans Display No1" w:eastAsia="Times New Roman" w:hAnsi="Sharp Sans Display No1" w:cs="Calibri"/>
          <w:sz w:val="22"/>
          <w:szCs w:val="22"/>
        </w:rPr>
        <w:t>-</w:t>
      </w:r>
      <w:r w:rsidRPr="00184C61">
        <w:rPr>
          <w:rFonts w:ascii="Sharp Sans Display No1" w:eastAsia="Times New Roman" w:hAnsi="Sharp Sans Display No1" w:cs="Calibri"/>
          <w:sz w:val="22"/>
          <w:szCs w:val="22"/>
        </w:rPr>
        <w:t xml:space="preserve">term fundamentals </w:t>
      </w:r>
      <w:r w:rsidR="00816102">
        <w:rPr>
          <w:rFonts w:ascii="Sharp Sans Display No1" w:eastAsia="Times New Roman" w:hAnsi="Sharp Sans Display No1" w:cs="Calibri"/>
          <w:sz w:val="22"/>
          <w:szCs w:val="22"/>
        </w:rPr>
        <w:t>of the asset class remain structurally attractive</w:t>
      </w:r>
      <w:r w:rsidR="003036E9">
        <w:rPr>
          <w:rFonts w:ascii="Sharp Sans Display No1" w:eastAsia="Times New Roman" w:hAnsi="Sharp Sans Display No1" w:cs="Calibri"/>
          <w:sz w:val="22"/>
          <w:szCs w:val="22"/>
        </w:rPr>
        <w:t>.</w:t>
      </w:r>
      <w:r w:rsidRPr="00184C61">
        <w:rPr>
          <w:rFonts w:ascii="Sharp Sans Display No1" w:eastAsia="Times New Roman" w:hAnsi="Sharp Sans Display No1" w:cs="Calibri"/>
          <w:sz w:val="22"/>
          <w:szCs w:val="22"/>
        </w:rPr>
        <w:t xml:space="preserve"> </w:t>
      </w:r>
      <w:r w:rsidR="003036E9">
        <w:rPr>
          <w:rFonts w:ascii="Sharp Sans Display No1" w:eastAsia="Times New Roman" w:hAnsi="Sharp Sans Display No1" w:cs="Calibri"/>
          <w:sz w:val="22"/>
          <w:szCs w:val="22"/>
        </w:rPr>
        <w:t xml:space="preserve">The </w:t>
      </w:r>
      <w:r w:rsidR="00AF1CFF">
        <w:rPr>
          <w:rFonts w:ascii="Sharp Sans Display No1" w:eastAsia="Times New Roman" w:hAnsi="Sharp Sans Display No1" w:cs="Calibri"/>
          <w:sz w:val="22"/>
          <w:szCs w:val="22"/>
        </w:rPr>
        <w:t>fund</w:t>
      </w:r>
      <w:r w:rsidR="003036E9">
        <w:rPr>
          <w:rFonts w:ascii="Sharp Sans Display No1" w:eastAsia="Times New Roman" w:hAnsi="Sharp Sans Display No1" w:cs="Calibri"/>
          <w:sz w:val="22"/>
          <w:szCs w:val="22"/>
        </w:rPr>
        <w:t xml:space="preserve"> is</w:t>
      </w:r>
      <w:r w:rsidRPr="00184C61">
        <w:rPr>
          <w:rFonts w:ascii="Sharp Sans Display No1" w:eastAsia="Times New Roman" w:hAnsi="Sharp Sans Display No1" w:cs="Calibri"/>
          <w:sz w:val="22"/>
          <w:szCs w:val="22"/>
        </w:rPr>
        <w:t xml:space="preserve"> well</w:t>
      </w:r>
      <w:r w:rsidR="003036E9">
        <w:rPr>
          <w:rFonts w:ascii="Sharp Sans Display No1" w:eastAsia="Times New Roman" w:hAnsi="Sharp Sans Display No1" w:cs="Calibri"/>
          <w:sz w:val="22"/>
          <w:szCs w:val="22"/>
        </w:rPr>
        <w:t>-</w:t>
      </w:r>
      <w:r w:rsidRPr="00184C61">
        <w:rPr>
          <w:rFonts w:ascii="Sharp Sans Display No1" w:eastAsia="Times New Roman" w:hAnsi="Sharp Sans Display No1" w:cs="Calibri"/>
          <w:sz w:val="22"/>
          <w:szCs w:val="22"/>
        </w:rPr>
        <w:t>position</w:t>
      </w:r>
      <w:r w:rsidR="003036E9">
        <w:rPr>
          <w:rFonts w:ascii="Sharp Sans Display No1" w:eastAsia="Times New Roman" w:hAnsi="Sharp Sans Display No1" w:cs="Calibri"/>
          <w:sz w:val="22"/>
          <w:szCs w:val="22"/>
        </w:rPr>
        <w:t>ed</w:t>
      </w:r>
      <w:r w:rsidRPr="00184C61">
        <w:rPr>
          <w:rFonts w:ascii="Sharp Sans Display No1" w:eastAsia="Times New Roman" w:hAnsi="Sharp Sans Display No1" w:cs="Calibri"/>
          <w:sz w:val="22"/>
          <w:szCs w:val="22"/>
        </w:rPr>
        <w:t xml:space="preserve"> to capture opportunities in 2026 and beyond.</w:t>
      </w:r>
    </w:p>
    <w:p w14:paraId="75D1346E" w14:textId="77777777" w:rsidR="00414438" w:rsidRPr="00184C61" w:rsidRDefault="00414438" w:rsidP="0086558E">
      <w:pPr>
        <w:spacing w:after="0" w:line="240" w:lineRule="auto"/>
        <w:rPr>
          <w:rFonts w:ascii="Sharp Sans Display No1" w:eastAsia="Times New Roman" w:hAnsi="Sharp Sans Display No1" w:cs="Calibri"/>
          <w:b/>
          <w:bCs/>
          <w:sz w:val="22"/>
          <w:szCs w:val="22"/>
        </w:rPr>
      </w:pPr>
    </w:p>
    <w:p w14:paraId="7A4D5292" w14:textId="7E0BE9C3" w:rsidR="0086558E" w:rsidRPr="00F05837" w:rsidRDefault="00816102" w:rsidP="00F05837">
      <w:pPr>
        <w:spacing w:after="0" w:line="240" w:lineRule="auto"/>
        <w:rPr>
          <w:rFonts w:ascii="Sharp Sans Display No1" w:eastAsia="Times New Roman" w:hAnsi="Sharp Sans Display No1" w:cs="Calibri"/>
          <w:b/>
          <w:bCs/>
          <w:sz w:val="22"/>
          <w:szCs w:val="22"/>
        </w:rPr>
      </w:pPr>
      <w:r>
        <w:rPr>
          <w:rFonts w:ascii="Sharp Sans Display No1" w:eastAsia="Times New Roman" w:hAnsi="Sharp Sans Display No1" w:cs="Calibri"/>
          <w:b/>
          <w:bCs/>
          <w:sz w:val="22"/>
          <w:szCs w:val="22"/>
        </w:rPr>
        <w:t xml:space="preserve">Key </w:t>
      </w:r>
      <w:r w:rsidR="00A473B7">
        <w:rPr>
          <w:rFonts w:ascii="Sharp Sans Display No1" w:eastAsia="Times New Roman" w:hAnsi="Sharp Sans Display No1" w:cs="Calibri"/>
          <w:b/>
          <w:bCs/>
          <w:sz w:val="22"/>
          <w:szCs w:val="22"/>
        </w:rPr>
        <w:t xml:space="preserve">sectors </w:t>
      </w:r>
      <w:r w:rsidR="0086558E" w:rsidRPr="00F05837">
        <w:rPr>
          <w:rFonts w:ascii="Sharp Sans Display No1" w:eastAsia="Times New Roman" w:hAnsi="Sharp Sans Display No1" w:cs="Calibri"/>
          <w:b/>
          <w:bCs/>
          <w:sz w:val="22"/>
          <w:szCs w:val="22"/>
        </w:rPr>
        <w:t xml:space="preserve">in the portfolio </w:t>
      </w:r>
    </w:p>
    <w:p w14:paraId="5FA1244B" w14:textId="41305810" w:rsidR="004A75D6" w:rsidRPr="00184C61" w:rsidRDefault="005D35F6" w:rsidP="004A75D6">
      <w:pPr>
        <w:pStyle w:val="NormalWeb"/>
        <w:spacing w:line="300" w:lineRule="atLeast"/>
        <w:rPr>
          <w:rFonts w:ascii="Sharp Sans Display No1" w:hAnsi="Sharp Sans Display No1" w:cs="Segoe UI"/>
          <w:b/>
          <w:bCs/>
          <w:sz w:val="22"/>
          <w:szCs w:val="22"/>
        </w:rPr>
      </w:pPr>
      <w:r w:rsidRPr="00184C61">
        <w:rPr>
          <w:rFonts w:ascii="Sharp Sans Display No1" w:hAnsi="Sharp Sans Display No1" w:cs="Segoe UI"/>
          <w:b/>
          <w:bCs/>
          <w:sz w:val="22"/>
          <w:szCs w:val="22"/>
        </w:rPr>
        <w:t>Copper miners</w:t>
      </w:r>
    </w:p>
    <w:p w14:paraId="43FA3CC5" w14:textId="5DBCF87B" w:rsidR="004A75D6" w:rsidRPr="00184C61" w:rsidRDefault="0099141F" w:rsidP="0099141F">
      <w:pPr>
        <w:spacing w:line="300" w:lineRule="atLeast"/>
        <w:rPr>
          <w:rFonts w:ascii="Sharp Sans Display No1" w:hAnsi="Sharp Sans Display No1" w:cs="Segoe UI"/>
          <w:sz w:val="22"/>
          <w:szCs w:val="22"/>
        </w:rPr>
      </w:pPr>
      <w:r w:rsidRPr="00184C61">
        <w:rPr>
          <w:rFonts w:ascii="Sharp Sans Display No1" w:hAnsi="Sharp Sans Display No1" w:cs="Segoe UI"/>
          <w:sz w:val="22"/>
          <w:szCs w:val="22"/>
        </w:rPr>
        <w:t>Copper is the poster child of critical minerals</w:t>
      </w:r>
      <w:r w:rsidR="003036E9">
        <w:rPr>
          <w:rFonts w:ascii="Sharp Sans Display No1" w:hAnsi="Sharp Sans Display No1" w:cs="Segoe UI"/>
          <w:sz w:val="22"/>
          <w:szCs w:val="22"/>
        </w:rPr>
        <w:t xml:space="preserve">. It’s a </w:t>
      </w:r>
      <w:r w:rsidRPr="00184C61">
        <w:rPr>
          <w:rFonts w:ascii="Sharp Sans Display No1" w:hAnsi="Sharp Sans Display No1" w:cs="Segoe UI"/>
          <w:sz w:val="22"/>
          <w:szCs w:val="22"/>
        </w:rPr>
        <w:t xml:space="preserve">key </w:t>
      </w:r>
      <w:r w:rsidR="00816102">
        <w:rPr>
          <w:rFonts w:ascii="Sharp Sans Display No1" w:hAnsi="Sharp Sans Display No1" w:cs="Segoe UI"/>
          <w:sz w:val="22"/>
          <w:szCs w:val="22"/>
        </w:rPr>
        <w:t>theme</w:t>
      </w:r>
      <w:r w:rsidR="00816102" w:rsidRPr="00184C61">
        <w:rPr>
          <w:rFonts w:ascii="Sharp Sans Display No1" w:hAnsi="Sharp Sans Display No1" w:cs="Segoe UI"/>
          <w:sz w:val="22"/>
          <w:szCs w:val="22"/>
        </w:rPr>
        <w:t xml:space="preserve"> </w:t>
      </w:r>
      <w:r w:rsidRPr="00184C61">
        <w:rPr>
          <w:rFonts w:ascii="Sharp Sans Display No1" w:hAnsi="Sharp Sans Display No1" w:cs="Segoe UI"/>
          <w:sz w:val="22"/>
          <w:szCs w:val="22"/>
        </w:rPr>
        <w:t>within the portfolio, with around 30% exposure. It</w:t>
      </w:r>
      <w:r w:rsidR="003036E9">
        <w:rPr>
          <w:rFonts w:ascii="Sharp Sans Display No1" w:hAnsi="Sharp Sans Display No1" w:cs="Segoe UI"/>
          <w:sz w:val="22"/>
          <w:szCs w:val="22"/>
        </w:rPr>
        <w:t>’s</w:t>
      </w:r>
      <w:r w:rsidR="00816102">
        <w:rPr>
          <w:rFonts w:ascii="Sharp Sans Display No1" w:hAnsi="Sharp Sans Display No1" w:cs="Segoe UI"/>
          <w:sz w:val="22"/>
          <w:szCs w:val="22"/>
        </w:rPr>
        <w:t xml:space="preserve"> fundamental to </w:t>
      </w:r>
      <w:r w:rsidR="004A75D6" w:rsidRPr="00184C61">
        <w:rPr>
          <w:rFonts w:ascii="Sharp Sans Display No1" w:hAnsi="Sharp Sans Display No1" w:cs="Segoe UI"/>
          <w:sz w:val="22"/>
          <w:szCs w:val="22"/>
        </w:rPr>
        <w:t xml:space="preserve">electrification and has no practical substitute as an electricity conductor. Following a 44% rise in </w:t>
      </w:r>
      <w:r w:rsidR="00F52522">
        <w:rPr>
          <w:rFonts w:ascii="Sharp Sans Display No1" w:hAnsi="Sharp Sans Display No1" w:cs="Segoe UI"/>
          <w:sz w:val="22"/>
          <w:szCs w:val="22"/>
        </w:rPr>
        <w:t xml:space="preserve">the </w:t>
      </w:r>
      <w:r w:rsidR="004A75D6" w:rsidRPr="00184C61">
        <w:rPr>
          <w:rFonts w:ascii="Sharp Sans Display No1" w:hAnsi="Sharp Sans Display No1" w:cs="Segoe UI"/>
          <w:sz w:val="22"/>
          <w:szCs w:val="22"/>
        </w:rPr>
        <w:t>L</w:t>
      </w:r>
      <w:r w:rsidR="00F52522">
        <w:rPr>
          <w:rFonts w:ascii="Sharp Sans Display No1" w:hAnsi="Sharp Sans Display No1" w:cs="Segoe UI"/>
          <w:sz w:val="22"/>
          <w:szCs w:val="22"/>
        </w:rPr>
        <w:t xml:space="preserve">ondon Metal Exchange’s </w:t>
      </w:r>
      <w:r w:rsidR="004A75D6" w:rsidRPr="00184C61">
        <w:rPr>
          <w:rFonts w:ascii="Sharp Sans Display No1" w:hAnsi="Sharp Sans Display No1" w:cs="Segoe UI"/>
          <w:sz w:val="22"/>
          <w:szCs w:val="22"/>
        </w:rPr>
        <w:t>spot pric</w:t>
      </w:r>
      <w:r w:rsidR="008A1957">
        <w:rPr>
          <w:rFonts w:ascii="Sharp Sans Display No1" w:hAnsi="Sharp Sans Display No1" w:cs="Segoe UI"/>
          <w:sz w:val="22"/>
          <w:szCs w:val="22"/>
        </w:rPr>
        <w:t>e</w:t>
      </w:r>
      <w:r w:rsidR="004A75D6" w:rsidRPr="00184C61">
        <w:rPr>
          <w:rFonts w:ascii="Sharp Sans Display No1" w:hAnsi="Sharp Sans Display No1" w:cs="Segoe UI"/>
          <w:sz w:val="22"/>
          <w:szCs w:val="22"/>
        </w:rPr>
        <w:t xml:space="preserve"> in 2025, demand resilience will be tested in 2026. However, copper’s relatively low cost within end</w:t>
      </w:r>
      <w:r w:rsidR="00F52522">
        <w:rPr>
          <w:rFonts w:ascii="Sharp Sans Display No1" w:hAnsi="Sharp Sans Display No1" w:cs="Segoe UI"/>
          <w:sz w:val="22"/>
          <w:szCs w:val="22"/>
        </w:rPr>
        <w:t>-</w:t>
      </w:r>
      <w:r w:rsidR="004A75D6" w:rsidRPr="00184C61">
        <w:rPr>
          <w:rFonts w:ascii="Sharp Sans Display No1" w:hAnsi="Sharp Sans Display No1" w:cs="Segoe UI"/>
          <w:sz w:val="22"/>
          <w:szCs w:val="22"/>
        </w:rPr>
        <w:t xml:space="preserve">use applications suggests higher prices can be absorbed without </w:t>
      </w:r>
      <w:r w:rsidR="00F52522">
        <w:rPr>
          <w:rFonts w:ascii="Sharp Sans Display No1" w:hAnsi="Sharp Sans Display No1" w:cs="Segoe UI"/>
          <w:sz w:val="22"/>
          <w:szCs w:val="22"/>
        </w:rPr>
        <w:t>affecting</w:t>
      </w:r>
      <w:r w:rsidR="004A75D6" w:rsidRPr="00184C61">
        <w:rPr>
          <w:rFonts w:ascii="Sharp Sans Display No1" w:hAnsi="Sharp Sans Display No1" w:cs="Segoe UI"/>
          <w:sz w:val="22"/>
          <w:szCs w:val="22"/>
        </w:rPr>
        <w:t xml:space="preserve"> demand. </w:t>
      </w:r>
      <w:r w:rsidR="00816102">
        <w:rPr>
          <w:rFonts w:ascii="Sharp Sans Display No1" w:hAnsi="Sharp Sans Display No1" w:cs="Segoe UI"/>
          <w:sz w:val="22"/>
          <w:szCs w:val="22"/>
        </w:rPr>
        <w:br/>
      </w:r>
      <w:r w:rsidR="00816102">
        <w:rPr>
          <w:rFonts w:ascii="Sharp Sans Display No1" w:hAnsi="Sharp Sans Display No1" w:cs="Segoe UI"/>
          <w:sz w:val="22"/>
          <w:szCs w:val="22"/>
        </w:rPr>
        <w:br/>
      </w:r>
      <w:r w:rsidR="004A75D6" w:rsidRPr="00184C61">
        <w:rPr>
          <w:rFonts w:ascii="Sharp Sans Display No1" w:hAnsi="Sharp Sans Display No1" w:cs="Segoe UI"/>
          <w:sz w:val="22"/>
          <w:szCs w:val="22"/>
        </w:rPr>
        <w:t xml:space="preserve">Supply remains constrained </w:t>
      </w:r>
      <w:r w:rsidR="00F52522">
        <w:rPr>
          <w:rFonts w:ascii="Sharp Sans Display No1" w:hAnsi="Sharp Sans Display No1" w:cs="Segoe UI"/>
          <w:sz w:val="22"/>
          <w:szCs w:val="22"/>
        </w:rPr>
        <w:t xml:space="preserve">because of </w:t>
      </w:r>
      <w:r w:rsidR="004A75D6" w:rsidRPr="00184C61">
        <w:rPr>
          <w:rFonts w:ascii="Sharp Sans Display No1" w:hAnsi="Sharp Sans Display No1" w:cs="Segoe UI"/>
          <w:sz w:val="22"/>
          <w:szCs w:val="22"/>
        </w:rPr>
        <w:t xml:space="preserve">disruption at major producers and long project lead times, while </w:t>
      </w:r>
      <w:r w:rsidR="00F52522">
        <w:rPr>
          <w:rFonts w:ascii="Sharp Sans Display No1" w:hAnsi="Sharp Sans Display No1" w:cs="Segoe UI"/>
          <w:sz w:val="22"/>
          <w:szCs w:val="22"/>
        </w:rPr>
        <w:t>merger and acquisition</w:t>
      </w:r>
      <w:r w:rsidR="004A75D6" w:rsidRPr="00184C61">
        <w:rPr>
          <w:rFonts w:ascii="Sharp Sans Display No1" w:hAnsi="Sharp Sans Display No1" w:cs="Segoe UI"/>
          <w:sz w:val="22"/>
          <w:szCs w:val="22"/>
        </w:rPr>
        <w:t xml:space="preserve"> activity highlights the strategic value of high</w:t>
      </w:r>
      <w:r w:rsidR="00F52522">
        <w:rPr>
          <w:rFonts w:ascii="Sharp Sans Display No1" w:hAnsi="Sharp Sans Display No1" w:cs="Segoe UI"/>
          <w:sz w:val="22"/>
          <w:szCs w:val="22"/>
        </w:rPr>
        <w:t>-</w:t>
      </w:r>
      <w:r w:rsidR="004A75D6" w:rsidRPr="00184C61">
        <w:rPr>
          <w:rFonts w:ascii="Sharp Sans Display No1" w:hAnsi="Sharp Sans Display No1" w:cs="Segoe UI"/>
          <w:sz w:val="22"/>
          <w:szCs w:val="22"/>
        </w:rPr>
        <w:t>quality assets. We expect these supply challenges to keep the market tight well into 2026.</w:t>
      </w:r>
      <w:r w:rsidR="005D35F6" w:rsidRPr="00184C61">
        <w:rPr>
          <w:rFonts w:ascii="Sharp Sans Display No1" w:hAnsi="Sharp Sans Display No1" w:cs="Segoe UI"/>
          <w:sz w:val="22"/>
          <w:szCs w:val="22"/>
        </w:rPr>
        <w:t xml:space="preserve"> </w:t>
      </w:r>
    </w:p>
    <w:p w14:paraId="3986E3E5" w14:textId="204A31E3" w:rsidR="005D35F6" w:rsidRPr="00184C61" w:rsidRDefault="005D35F6" w:rsidP="004A75D6">
      <w:pPr>
        <w:pStyle w:val="NormalWeb"/>
        <w:spacing w:line="300" w:lineRule="atLeast"/>
        <w:rPr>
          <w:rFonts w:ascii="Sharp Sans Display No1" w:hAnsi="Sharp Sans Display No1" w:cs="Segoe UI"/>
          <w:b/>
          <w:bCs/>
          <w:sz w:val="22"/>
          <w:szCs w:val="22"/>
        </w:rPr>
      </w:pPr>
      <w:r w:rsidRPr="00184C61">
        <w:rPr>
          <w:rFonts w:ascii="Sharp Sans Display No1" w:hAnsi="Sharp Sans Display No1" w:cs="Segoe UI"/>
          <w:b/>
          <w:bCs/>
          <w:sz w:val="22"/>
          <w:szCs w:val="22"/>
        </w:rPr>
        <w:t>Nuclear demand rising</w:t>
      </w:r>
    </w:p>
    <w:p w14:paraId="7C15AA46" w14:textId="6E810513" w:rsidR="0086558E" w:rsidRDefault="0099141F" w:rsidP="0099141F">
      <w:pPr>
        <w:spacing w:line="300" w:lineRule="atLeast"/>
        <w:rPr>
          <w:rFonts w:ascii="Sharp Sans Display No1" w:hAnsi="Sharp Sans Display No1" w:cs="Segoe UI"/>
          <w:sz w:val="22"/>
          <w:szCs w:val="22"/>
        </w:rPr>
      </w:pPr>
      <w:r w:rsidRPr="00184C61">
        <w:rPr>
          <w:rFonts w:ascii="Sharp Sans Display No1" w:hAnsi="Sharp Sans Display No1" w:cs="Segoe UI"/>
          <w:sz w:val="22"/>
          <w:szCs w:val="22"/>
        </w:rPr>
        <w:lastRenderedPageBreak/>
        <w:t xml:space="preserve">Uranium is benefiting from a global renaissance in nuclear energy. In 2025, </w:t>
      </w:r>
      <w:r w:rsidR="001D1FD6">
        <w:rPr>
          <w:rFonts w:ascii="Sharp Sans Display No1" w:hAnsi="Sharp Sans Display No1" w:cs="Segoe UI"/>
          <w:sz w:val="22"/>
          <w:szCs w:val="22"/>
        </w:rPr>
        <w:t>W</w:t>
      </w:r>
      <w:r w:rsidRPr="00184C61">
        <w:rPr>
          <w:rFonts w:ascii="Sharp Sans Display No1" w:hAnsi="Sharp Sans Display No1" w:cs="Segoe UI"/>
          <w:sz w:val="22"/>
          <w:szCs w:val="22"/>
        </w:rPr>
        <w:t xml:space="preserve">estern governments reaffirmed nuclear power as a </w:t>
      </w:r>
      <w:r w:rsidR="00816102">
        <w:rPr>
          <w:rFonts w:ascii="Sharp Sans Display No1" w:hAnsi="Sharp Sans Display No1" w:cs="Segoe UI"/>
          <w:sz w:val="22"/>
          <w:szCs w:val="22"/>
        </w:rPr>
        <w:t>core pillar of</w:t>
      </w:r>
      <w:r w:rsidRPr="00184C61">
        <w:rPr>
          <w:rFonts w:ascii="Sharp Sans Display No1" w:hAnsi="Sharp Sans Display No1" w:cs="Segoe UI"/>
          <w:sz w:val="22"/>
          <w:szCs w:val="22"/>
        </w:rPr>
        <w:t xml:space="preserve"> energy security and decarbonisation</w:t>
      </w:r>
      <w:r w:rsidR="00F52522">
        <w:rPr>
          <w:rFonts w:ascii="Sharp Sans Display No1" w:hAnsi="Sharp Sans Display No1" w:cs="Segoe UI"/>
          <w:sz w:val="22"/>
          <w:szCs w:val="22"/>
        </w:rPr>
        <w:t xml:space="preserve">. </w:t>
      </w:r>
      <w:r w:rsidR="004A75D6" w:rsidRPr="00184C61">
        <w:rPr>
          <w:rFonts w:ascii="Sharp Sans Display No1" w:hAnsi="Sharp Sans Display No1" w:cs="Segoe UI"/>
          <w:sz w:val="22"/>
          <w:szCs w:val="22"/>
        </w:rPr>
        <w:t xml:space="preserve">China continues </w:t>
      </w:r>
      <w:r w:rsidRPr="00184C61">
        <w:rPr>
          <w:rFonts w:ascii="Sharp Sans Display No1" w:hAnsi="Sharp Sans Display No1" w:cs="Segoe UI"/>
          <w:sz w:val="22"/>
          <w:szCs w:val="22"/>
        </w:rPr>
        <w:t>its nuclear expansion at full speed</w:t>
      </w:r>
      <w:r w:rsidR="004A75D6" w:rsidRPr="00184C61">
        <w:rPr>
          <w:rFonts w:ascii="Sharp Sans Display No1" w:hAnsi="Sharp Sans Display No1" w:cs="Segoe UI"/>
          <w:sz w:val="22"/>
          <w:szCs w:val="22"/>
        </w:rPr>
        <w:t>.</w:t>
      </w:r>
      <w:r w:rsidR="004A75D6" w:rsidRPr="00184C61">
        <w:rPr>
          <w:rFonts w:ascii="Sharp Sans Display No1" w:hAnsi="Sharp Sans Display No1" w:cs="Segoe UI"/>
          <w:i/>
          <w:iCs/>
          <w:color w:val="FF0000"/>
          <w:sz w:val="22"/>
          <w:szCs w:val="22"/>
        </w:rPr>
        <w:t xml:space="preserve"> </w:t>
      </w:r>
      <w:r w:rsidR="00184C61" w:rsidRPr="00184C61">
        <w:rPr>
          <w:rFonts w:ascii="Sharp Sans Display No1" w:hAnsi="Sharp Sans Display No1" w:cs="Segoe UI"/>
          <w:sz w:val="22"/>
          <w:szCs w:val="22"/>
        </w:rPr>
        <w:t xml:space="preserve">Inventories have been drawn down over the past decade, mining activity has lagged demand, and supply remains highly concentrated. </w:t>
      </w:r>
      <w:r w:rsidR="00816102">
        <w:rPr>
          <w:rFonts w:ascii="Sharp Sans Display No1" w:hAnsi="Sharp Sans Display No1" w:cs="Segoe UI"/>
          <w:sz w:val="22"/>
          <w:szCs w:val="22"/>
        </w:rPr>
        <w:br/>
      </w:r>
      <w:r w:rsidR="00816102">
        <w:rPr>
          <w:rFonts w:ascii="Sharp Sans Display No1" w:hAnsi="Sharp Sans Display No1" w:cs="Segoe UI"/>
          <w:sz w:val="22"/>
          <w:szCs w:val="22"/>
        </w:rPr>
        <w:br/>
      </w:r>
      <w:r w:rsidR="00184C61" w:rsidRPr="00184C61">
        <w:rPr>
          <w:rFonts w:ascii="Sharp Sans Display No1" w:hAnsi="Sharp Sans Display No1" w:cs="Segoe UI"/>
          <w:sz w:val="22"/>
          <w:szCs w:val="22"/>
        </w:rPr>
        <w:t xml:space="preserve">With uranium accounting for less than 10% of nuclear operating costs, demand elasticity is extremely low. Against this backdrop, we see 2026 as a potential inflection point for the uranium market. The </w:t>
      </w:r>
      <w:r w:rsidR="00AF1CFF">
        <w:rPr>
          <w:rFonts w:ascii="Sharp Sans Display No1" w:hAnsi="Sharp Sans Display No1" w:cs="Segoe UI"/>
          <w:sz w:val="22"/>
          <w:szCs w:val="22"/>
        </w:rPr>
        <w:t>fund</w:t>
      </w:r>
      <w:r w:rsidR="00184C61" w:rsidRPr="00184C61">
        <w:rPr>
          <w:rFonts w:ascii="Sharp Sans Display No1" w:hAnsi="Sharp Sans Display No1" w:cs="Segoe UI"/>
          <w:sz w:val="22"/>
          <w:szCs w:val="22"/>
        </w:rPr>
        <w:t xml:space="preserve"> has around 8% exposure to uranium</w:t>
      </w:r>
      <w:r w:rsidR="00F52522">
        <w:rPr>
          <w:rFonts w:ascii="Sharp Sans Display No1" w:hAnsi="Sharp Sans Display No1" w:cs="Segoe UI"/>
          <w:sz w:val="22"/>
          <w:szCs w:val="22"/>
        </w:rPr>
        <w:t xml:space="preserve">. This includes a holding in </w:t>
      </w:r>
      <w:r w:rsidR="00184C61" w:rsidRPr="00184C61">
        <w:rPr>
          <w:rFonts w:ascii="Sharp Sans Display No1" w:hAnsi="Sharp Sans Display No1" w:cs="Segoe UI"/>
          <w:sz w:val="22"/>
          <w:szCs w:val="22"/>
        </w:rPr>
        <w:t>Kazatomprom, the world’s largest and lowest</w:t>
      </w:r>
      <w:r w:rsidR="00F52522">
        <w:rPr>
          <w:rFonts w:ascii="Sharp Sans Display No1" w:hAnsi="Sharp Sans Display No1" w:cs="Segoe UI"/>
          <w:sz w:val="22"/>
          <w:szCs w:val="22"/>
        </w:rPr>
        <w:t>-</w:t>
      </w:r>
      <w:r w:rsidR="00184C61" w:rsidRPr="00184C61">
        <w:rPr>
          <w:rFonts w:ascii="Sharp Sans Display No1" w:hAnsi="Sharp Sans Display No1" w:cs="Segoe UI"/>
          <w:sz w:val="22"/>
          <w:szCs w:val="22"/>
        </w:rPr>
        <w:t xml:space="preserve">cost producer, which also benefits from comparatively strong environmental credentials </w:t>
      </w:r>
      <w:r w:rsidR="00F52522">
        <w:rPr>
          <w:rFonts w:ascii="Sharp Sans Display No1" w:hAnsi="Sharp Sans Display No1" w:cs="Segoe UI"/>
          <w:sz w:val="22"/>
          <w:szCs w:val="22"/>
        </w:rPr>
        <w:t xml:space="preserve">given </w:t>
      </w:r>
      <w:r w:rsidR="00184C61" w:rsidRPr="00184C61">
        <w:rPr>
          <w:rFonts w:ascii="Sharp Sans Display No1" w:hAnsi="Sharp Sans Display No1" w:cs="Segoe UI"/>
          <w:sz w:val="22"/>
          <w:szCs w:val="22"/>
        </w:rPr>
        <w:t>its in</w:t>
      </w:r>
      <w:r w:rsidR="00F52522">
        <w:rPr>
          <w:rFonts w:ascii="Sharp Sans Display No1" w:hAnsi="Sharp Sans Display No1" w:cs="Segoe UI"/>
          <w:sz w:val="22"/>
          <w:szCs w:val="22"/>
        </w:rPr>
        <w:t>-</w:t>
      </w:r>
      <w:r w:rsidR="00184C61" w:rsidRPr="00184C61">
        <w:rPr>
          <w:rFonts w:ascii="Sharp Sans Display No1" w:hAnsi="Sharp Sans Display No1" w:cs="Segoe UI"/>
          <w:sz w:val="22"/>
          <w:szCs w:val="22"/>
        </w:rPr>
        <w:t>situ recovery extraction methods.</w:t>
      </w:r>
      <w:r w:rsidR="00816102">
        <w:rPr>
          <w:rFonts w:ascii="Sharp Sans Display No1" w:hAnsi="Sharp Sans Display No1" w:cs="Segoe UI"/>
          <w:sz w:val="22"/>
          <w:szCs w:val="22"/>
        </w:rPr>
        <w:br/>
      </w:r>
      <w:r w:rsidR="00816102">
        <w:rPr>
          <w:rFonts w:ascii="Sharp Sans Display No1" w:hAnsi="Sharp Sans Display No1" w:cs="Segoe UI"/>
          <w:sz w:val="22"/>
          <w:szCs w:val="22"/>
        </w:rPr>
        <w:br/>
        <w:t xml:space="preserve">To learn more about </w:t>
      </w:r>
      <w:r w:rsidR="00F52522">
        <w:rPr>
          <w:rFonts w:ascii="Sharp Sans Display No1" w:hAnsi="Sharp Sans Display No1" w:cs="Segoe UI"/>
          <w:sz w:val="22"/>
          <w:szCs w:val="22"/>
        </w:rPr>
        <w:t xml:space="preserve">our </w:t>
      </w:r>
      <w:r w:rsidR="000E2472">
        <w:rPr>
          <w:rFonts w:ascii="Sharp Sans Display No1" w:hAnsi="Sharp Sans Display No1" w:cs="Segoe UI"/>
          <w:sz w:val="22"/>
          <w:szCs w:val="22"/>
        </w:rPr>
        <w:t>F</w:t>
      </w:r>
      <w:r w:rsidR="00816102">
        <w:rPr>
          <w:rFonts w:ascii="Sharp Sans Display No1" w:hAnsi="Sharp Sans Display No1" w:cs="Segoe UI"/>
          <w:sz w:val="22"/>
          <w:szCs w:val="22"/>
        </w:rPr>
        <w:t xml:space="preserve">uture </w:t>
      </w:r>
      <w:r w:rsidR="000E2472">
        <w:rPr>
          <w:rFonts w:ascii="Sharp Sans Display No1" w:hAnsi="Sharp Sans Display No1" w:cs="Segoe UI"/>
          <w:sz w:val="22"/>
          <w:szCs w:val="22"/>
        </w:rPr>
        <w:t>M</w:t>
      </w:r>
      <w:r w:rsidR="00816102">
        <w:rPr>
          <w:rFonts w:ascii="Sharp Sans Display No1" w:hAnsi="Sharp Sans Display No1" w:cs="Segoe UI"/>
          <w:sz w:val="22"/>
          <w:szCs w:val="22"/>
        </w:rPr>
        <w:t xml:space="preserve">inerals </w:t>
      </w:r>
      <w:r w:rsidR="008A1957">
        <w:rPr>
          <w:rFonts w:ascii="Sharp Sans Display No1" w:hAnsi="Sharp Sans Display No1" w:cs="Segoe UI"/>
          <w:sz w:val="22"/>
          <w:szCs w:val="22"/>
        </w:rPr>
        <w:t>fund</w:t>
      </w:r>
      <w:r w:rsidR="00816102">
        <w:rPr>
          <w:rFonts w:ascii="Sharp Sans Display No1" w:hAnsi="Sharp Sans Display No1" w:cs="Segoe UI"/>
          <w:sz w:val="22"/>
          <w:szCs w:val="22"/>
        </w:rPr>
        <w:t xml:space="preserve"> and how to diversify your clients</w:t>
      </w:r>
      <w:r w:rsidR="00F52522">
        <w:rPr>
          <w:rFonts w:ascii="Sharp Sans Display No1" w:hAnsi="Sharp Sans Display No1" w:cs="Segoe UI"/>
          <w:sz w:val="22"/>
          <w:szCs w:val="22"/>
        </w:rPr>
        <w:t>’</w:t>
      </w:r>
      <w:r w:rsidR="00816102">
        <w:rPr>
          <w:rFonts w:ascii="Sharp Sans Display No1" w:hAnsi="Sharp Sans Display No1" w:cs="Segoe UI"/>
          <w:sz w:val="22"/>
          <w:szCs w:val="22"/>
        </w:rPr>
        <w:t xml:space="preserve"> portfolios, </w:t>
      </w:r>
      <w:r w:rsidR="00D02ACC">
        <w:rPr>
          <w:rFonts w:ascii="Sharp Sans Display No1" w:hAnsi="Sharp Sans Display No1" w:cs="Segoe UI"/>
          <w:sz w:val="22"/>
          <w:szCs w:val="22"/>
        </w:rPr>
        <w:t>please visit</w:t>
      </w:r>
      <w:r w:rsidR="00853F10">
        <w:rPr>
          <w:rFonts w:ascii="Sharp Sans Display No1" w:hAnsi="Sharp Sans Display No1" w:cs="Segoe UI"/>
          <w:sz w:val="22"/>
          <w:szCs w:val="22"/>
        </w:rPr>
        <w:t xml:space="preserve"> our </w:t>
      </w:r>
      <w:hyperlink r:id="rId5" w:history="1">
        <w:r w:rsidR="00853F10" w:rsidRPr="00853F10">
          <w:rPr>
            <w:rStyle w:val="Hyperlink"/>
            <w:rFonts w:ascii="Sharp Sans Display No1" w:hAnsi="Sharp Sans Display No1" w:cs="Segoe UI"/>
            <w:sz w:val="22"/>
            <w:szCs w:val="22"/>
          </w:rPr>
          <w:t>website</w:t>
        </w:r>
      </w:hyperlink>
      <w:r w:rsidR="00853F10">
        <w:rPr>
          <w:rFonts w:ascii="Sharp Sans Display No1" w:hAnsi="Sharp Sans Display No1" w:cs="Segoe UI"/>
          <w:sz w:val="22"/>
          <w:szCs w:val="22"/>
        </w:rPr>
        <w:t xml:space="preserve">. </w:t>
      </w:r>
      <w:r w:rsidR="00D02ACC">
        <w:rPr>
          <w:rFonts w:ascii="Sharp Sans Display No1" w:hAnsi="Sharp Sans Display No1" w:cs="Segoe UI"/>
          <w:sz w:val="22"/>
          <w:szCs w:val="22"/>
        </w:rPr>
        <w:t xml:space="preserve"> </w:t>
      </w:r>
    </w:p>
    <w:p w14:paraId="0DDD25CD" w14:textId="378AE9C6" w:rsidR="00853F10" w:rsidRDefault="00853F10" w:rsidP="0099141F">
      <w:pPr>
        <w:spacing w:line="300" w:lineRule="atLeast"/>
        <w:rPr>
          <w:rFonts w:ascii="Sharp Sans Display No1" w:hAnsi="Sharp Sans Display No1" w:cs="Segoe UI"/>
          <w:sz w:val="22"/>
          <w:szCs w:val="22"/>
        </w:rPr>
      </w:pPr>
      <w:r w:rsidRPr="00853F10">
        <w:rPr>
          <w:rFonts w:ascii="Sharp Sans Display No1" w:hAnsi="Sharp Sans Display No1" w:cs="Segoe UI"/>
          <w:b/>
          <w:bCs/>
          <w:sz w:val="22"/>
          <w:szCs w:val="22"/>
        </w:rPr>
        <w:t>Objective</w:t>
      </w:r>
      <w:r>
        <w:rPr>
          <w:rFonts w:ascii="Sharp Sans Display No1" w:hAnsi="Sharp Sans Display No1" w:cs="Segoe UI"/>
          <w:b/>
          <w:bCs/>
          <w:sz w:val="22"/>
          <w:szCs w:val="22"/>
        </w:rPr>
        <w:t>:</w:t>
      </w:r>
      <w:r w:rsidRPr="00853F10">
        <w:rPr>
          <w:rFonts w:ascii="Sharp Sans Display No1" w:hAnsi="Sharp Sans Display No1" w:cs="Segoe UI"/>
          <w:sz w:val="22"/>
          <w:szCs w:val="22"/>
        </w:rPr>
        <w:t xml:space="preserve"> The Fund aims to achieve a combination of growth and income by investing in companies of all sizes listed on global stock exchanges including Emerging Markets, which adhere to the </w:t>
      </w:r>
      <w:proofErr w:type="spellStart"/>
      <w:r w:rsidRPr="00853F10">
        <w:rPr>
          <w:rFonts w:ascii="Sharp Sans Display No1" w:hAnsi="Sharp Sans Display No1" w:cs="Segoe UI"/>
          <w:sz w:val="22"/>
          <w:szCs w:val="22"/>
        </w:rPr>
        <w:t>abrdn</w:t>
      </w:r>
      <w:proofErr w:type="spellEnd"/>
      <w:r w:rsidRPr="00853F10">
        <w:rPr>
          <w:rFonts w:ascii="Sharp Sans Display No1" w:hAnsi="Sharp Sans Display No1" w:cs="Segoe UI"/>
          <w:sz w:val="22"/>
          <w:szCs w:val="22"/>
        </w:rPr>
        <w:t xml:space="preserve"> Future Minerals Investment Approach (the "Investment Approach")</w:t>
      </w:r>
    </w:p>
    <w:p w14:paraId="2EC07CF5" w14:textId="6403E487" w:rsidR="00853F10" w:rsidRDefault="00853F10" w:rsidP="0099141F">
      <w:pPr>
        <w:spacing w:line="300" w:lineRule="atLeast"/>
        <w:rPr>
          <w:rFonts w:ascii="Sharp Sans Display No1" w:hAnsi="Sharp Sans Display No1" w:cs="Segoe UI"/>
          <w:sz w:val="22"/>
          <w:szCs w:val="22"/>
        </w:rPr>
      </w:pPr>
      <w:r w:rsidRPr="00853F10">
        <w:rPr>
          <w:rFonts w:ascii="Sharp Sans Display No1" w:hAnsi="Sharp Sans Display No1" w:cs="Segoe UI"/>
          <w:b/>
          <w:bCs/>
          <w:sz w:val="22"/>
          <w:szCs w:val="22"/>
        </w:rPr>
        <w:t>Key risks</w:t>
      </w:r>
      <w:r w:rsidRPr="00853F10">
        <w:rPr>
          <w:rFonts w:ascii="Sharp Sans Display No1" w:hAnsi="Sharp Sans Display No1" w:cs="Segoe UI"/>
          <w:sz w:val="22"/>
          <w:szCs w:val="22"/>
        </w:rPr>
        <w:t xml:space="preserve"> (a) The value of investments and the income from them can fall and investors may get back less than the amount invested. (b) The fund invests in equity and equity related securities. These are sensitive to variations in the stock markets which can be volatile and change substantially in short periods of time. (c) A concentrated portfolio may be more volatile and less liquid than a more broadly diversified one. The fund's investments are concentrated in a particular country or sector, or closely related group of industries or sectors</w:t>
      </w:r>
      <w:r>
        <w:rPr>
          <w:rFonts w:ascii="Sharp Sans Display No1" w:hAnsi="Sharp Sans Display No1" w:cs="Segoe UI"/>
          <w:sz w:val="22"/>
          <w:szCs w:val="22"/>
        </w:rPr>
        <w:t xml:space="preserve">. </w:t>
      </w:r>
      <w:r w:rsidRPr="00853F10">
        <w:rPr>
          <w:rFonts w:ascii="Sharp Sans Display No1" w:hAnsi="Sharp Sans Display No1" w:cs="Segoe UI"/>
          <w:sz w:val="22"/>
          <w:szCs w:val="22"/>
        </w:rPr>
        <w:t xml:space="preserve">(d) The fund invests in emerging market equities and / or bonds. Investing in emerging markets involves a greater risk of loss than investing in more developed markets due to, among other factors, greater political, tax, economic, foreign exchange, liquidity and regulatory risks. (e) The fund may invest in companies with Variable Interest Entity (VIE) structures </w:t>
      </w:r>
      <w:proofErr w:type="gramStart"/>
      <w:r w:rsidRPr="00853F10">
        <w:rPr>
          <w:rFonts w:ascii="Sharp Sans Display No1" w:hAnsi="Sharp Sans Display No1" w:cs="Segoe UI"/>
          <w:sz w:val="22"/>
          <w:szCs w:val="22"/>
        </w:rPr>
        <w:t>in order to</w:t>
      </w:r>
      <w:proofErr w:type="gramEnd"/>
      <w:r w:rsidRPr="00853F10">
        <w:rPr>
          <w:rFonts w:ascii="Sharp Sans Display No1" w:hAnsi="Sharp Sans Display No1" w:cs="Segoe UI"/>
          <w:sz w:val="22"/>
          <w:szCs w:val="22"/>
        </w:rPr>
        <w:t xml:space="preserve"> gain exposure to industries with foreign ownership restrictions. There is a risk that investments in these structures may be adversely affected by changes in the legal and regulatory framework. (f) Investing in China A shares involves special considerations and risks, including greater price volatility, a less developed regulatory and legal framework, exchange rate risk/controls, settlement, tax, quota, liquidity and regulatory risks. (g) Applying ESG and sustainability criteria in the investment process may result in the exclusion of securities within the fund's benchmark or universe of potential investments. The interpretation of ESG and sustainability criteria is subjective meaning that the fund may invest in companies which similar funds do not (and thus perform differently) and which do not align with the personal views of any individual investor. (h) The use of derivatives carries the risk of reduced liquidity, substantial loss and increased volatility in adverse market conditions, such as a failure amongst market participants. The use of derivatives may result in the fund being leveraged (where market exposure and thus the potential for loss by the fund exceeds the amount it has invested) and in these market conditions the effect of leverage will be to magnify losses.</w:t>
      </w:r>
    </w:p>
    <w:p w14:paraId="482073E1" w14:textId="77777777" w:rsidR="00853F10" w:rsidRDefault="00853F10" w:rsidP="0099141F">
      <w:pPr>
        <w:spacing w:line="300" w:lineRule="atLeast"/>
        <w:rPr>
          <w:rFonts w:ascii="Sharp Sans Display No1" w:hAnsi="Sharp Sans Display No1" w:cs="Segoe UI"/>
          <w:sz w:val="22"/>
          <w:szCs w:val="22"/>
        </w:rPr>
      </w:pPr>
    </w:p>
    <w:p w14:paraId="48A16FAD" w14:textId="4B953532" w:rsidR="00853F10" w:rsidRDefault="00F220B2" w:rsidP="00F220B2">
      <w:pPr>
        <w:spacing w:line="300" w:lineRule="atLeast"/>
        <w:rPr>
          <w:rFonts w:ascii="Sharp Sans Display No1" w:hAnsi="Sharp Sans Display No1" w:cs="Segoe UI"/>
          <w:sz w:val="22"/>
          <w:szCs w:val="22"/>
        </w:rPr>
      </w:pPr>
      <w:r w:rsidRPr="00F220B2">
        <w:rPr>
          <w:rFonts w:ascii="Sharp Sans Display No1" w:hAnsi="Sharp Sans Display No1" w:cs="Segoe UI"/>
          <w:sz w:val="22"/>
          <w:szCs w:val="22"/>
        </w:rPr>
        <w:t xml:space="preserve">United Kingdom (UK): Issued by </w:t>
      </w:r>
      <w:proofErr w:type="spellStart"/>
      <w:r w:rsidRPr="00F220B2">
        <w:rPr>
          <w:rFonts w:ascii="Sharp Sans Display No1" w:hAnsi="Sharp Sans Display No1" w:cs="Segoe UI"/>
          <w:sz w:val="22"/>
          <w:szCs w:val="22"/>
        </w:rPr>
        <w:t>abrdn</w:t>
      </w:r>
      <w:proofErr w:type="spellEnd"/>
      <w:r w:rsidRPr="00F220B2">
        <w:rPr>
          <w:rFonts w:ascii="Sharp Sans Display No1" w:hAnsi="Sharp Sans Display No1" w:cs="Segoe UI"/>
          <w:sz w:val="22"/>
          <w:szCs w:val="22"/>
        </w:rPr>
        <w:t xml:space="preserve"> Investments Luxembourg S.A. 35a, Avenue J.F. Kennedy, L-1855 Luxembourg. R.C.S. B120637. Authorised in Luxembourg and regulated by CSSF. Aberdeen Investments Global is a business name of the foregoing entity.</w:t>
      </w:r>
    </w:p>
    <w:sectPr w:rsidR="00853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arp Sans Display No1">
    <w:panose1 w:val="00000000000000000000"/>
    <w:charset w:val="00"/>
    <w:family w:val="auto"/>
    <w:pitch w:val="variable"/>
    <w:sig w:usb0="A10000EF" w:usb1="520160FB" w:usb2="00000010" w:usb3="00000000" w:csb0="000001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2B3"/>
    <w:multiLevelType w:val="hybridMultilevel"/>
    <w:tmpl w:val="50264C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3B2EE4"/>
    <w:multiLevelType w:val="hybridMultilevel"/>
    <w:tmpl w:val="63947C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2C2C05"/>
    <w:multiLevelType w:val="hybridMultilevel"/>
    <w:tmpl w:val="2800C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40EBB"/>
    <w:multiLevelType w:val="hybridMultilevel"/>
    <w:tmpl w:val="FD4A9D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1828F5"/>
    <w:multiLevelType w:val="hybridMultilevel"/>
    <w:tmpl w:val="F5E4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24F88"/>
    <w:multiLevelType w:val="multilevel"/>
    <w:tmpl w:val="C888B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B1F7A"/>
    <w:multiLevelType w:val="hybridMultilevel"/>
    <w:tmpl w:val="9CB68BCC"/>
    <w:lvl w:ilvl="0" w:tplc="6298F676">
      <w:start w:val="202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C0F35"/>
    <w:multiLevelType w:val="hybridMultilevel"/>
    <w:tmpl w:val="0BDC7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D60104"/>
    <w:multiLevelType w:val="hybridMultilevel"/>
    <w:tmpl w:val="3D787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13CD2"/>
    <w:multiLevelType w:val="hybridMultilevel"/>
    <w:tmpl w:val="48B47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276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02021">
    <w:abstractNumId w:val="3"/>
  </w:num>
  <w:num w:numId="3" w16cid:durableId="1568415977">
    <w:abstractNumId w:val="8"/>
  </w:num>
  <w:num w:numId="4" w16cid:durableId="1889756225">
    <w:abstractNumId w:val="7"/>
  </w:num>
  <w:num w:numId="5" w16cid:durableId="2031758196">
    <w:abstractNumId w:val="6"/>
  </w:num>
  <w:num w:numId="6" w16cid:durableId="322584135">
    <w:abstractNumId w:val="9"/>
  </w:num>
  <w:num w:numId="7" w16cid:durableId="1151604600">
    <w:abstractNumId w:val="2"/>
  </w:num>
  <w:num w:numId="8" w16cid:durableId="170680803">
    <w:abstractNumId w:val="0"/>
  </w:num>
  <w:num w:numId="9" w16cid:durableId="129710176">
    <w:abstractNumId w:val="1"/>
  </w:num>
  <w:num w:numId="10" w16cid:durableId="1222406855">
    <w:abstractNumId w:val="4"/>
  </w:num>
  <w:num w:numId="11" w16cid:durableId="1388996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B51BC"/>
    <w:rsid w:val="00006F1A"/>
    <w:rsid w:val="00022BE1"/>
    <w:rsid w:val="0002564B"/>
    <w:rsid w:val="000304B1"/>
    <w:rsid w:val="0003654A"/>
    <w:rsid w:val="00040945"/>
    <w:rsid w:val="00050CBD"/>
    <w:rsid w:val="00066593"/>
    <w:rsid w:val="000666F1"/>
    <w:rsid w:val="00072F81"/>
    <w:rsid w:val="00074ADB"/>
    <w:rsid w:val="000818C0"/>
    <w:rsid w:val="00096E4C"/>
    <w:rsid w:val="00097633"/>
    <w:rsid w:val="000A3078"/>
    <w:rsid w:val="000A4304"/>
    <w:rsid w:val="000C1CEA"/>
    <w:rsid w:val="000C4304"/>
    <w:rsid w:val="000C52DD"/>
    <w:rsid w:val="000D4291"/>
    <w:rsid w:val="000D6FF4"/>
    <w:rsid w:val="000D7EC4"/>
    <w:rsid w:val="000E2472"/>
    <w:rsid w:val="000E3EDC"/>
    <w:rsid w:val="000E4917"/>
    <w:rsid w:val="000F540A"/>
    <w:rsid w:val="001017BE"/>
    <w:rsid w:val="001201AA"/>
    <w:rsid w:val="00123BF3"/>
    <w:rsid w:val="00143FEE"/>
    <w:rsid w:val="001465F7"/>
    <w:rsid w:val="00152240"/>
    <w:rsid w:val="001745A9"/>
    <w:rsid w:val="00181E7C"/>
    <w:rsid w:val="00184C61"/>
    <w:rsid w:val="00197F8D"/>
    <w:rsid w:val="001B03A8"/>
    <w:rsid w:val="001B3AC1"/>
    <w:rsid w:val="001B3CA5"/>
    <w:rsid w:val="001B479F"/>
    <w:rsid w:val="001C1FEB"/>
    <w:rsid w:val="001C2E9D"/>
    <w:rsid w:val="001D1FD6"/>
    <w:rsid w:val="001D72B8"/>
    <w:rsid w:val="001F4172"/>
    <w:rsid w:val="00201153"/>
    <w:rsid w:val="00207952"/>
    <w:rsid w:val="00217A94"/>
    <w:rsid w:val="00221732"/>
    <w:rsid w:val="00223EE4"/>
    <w:rsid w:val="00224903"/>
    <w:rsid w:val="00230152"/>
    <w:rsid w:val="0023141D"/>
    <w:rsid w:val="00243385"/>
    <w:rsid w:val="00245877"/>
    <w:rsid w:val="0027442C"/>
    <w:rsid w:val="00296C0F"/>
    <w:rsid w:val="002B51BC"/>
    <w:rsid w:val="002B529A"/>
    <w:rsid w:val="002D29EF"/>
    <w:rsid w:val="002D2F13"/>
    <w:rsid w:val="002E4FC9"/>
    <w:rsid w:val="002E5099"/>
    <w:rsid w:val="002E6EA1"/>
    <w:rsid w:val="00300010"/>
    <w:rsid w:val="003036E9"/>
    <w:rsid w:val="0031070F"/>
    <w:rsid w:val="00311271"/>
    <w:rsid w:val="00322644"/>
    <w:rsid w:val="00323DE6"/>
    <w:rsid w:val="003248A3"/>
    <w:rsid w:val="00330547"/>
    <w:rsid w:val="00330618"/>
    <w:rsid w:val="0033063C"/>
    <w:rsid w:val="0033268E"/>
    <w:rsid w:val="003373D3"/>
    <w:rsid w:val="0034076F"/>
    <w:rsid w:val="00345A69"/>
    <w:rsid w:val="0035317B"/>
    <w:rsid w:val="00354121"/>
    <w:rsid w:val="0035688B"/>
    <w:rsid w:val="0037072F"/>
    <w:rsid w:val="0038075E"/>
    <w:rsid w:val="0038616F"/>
    <w:rsid w:val="00386768"/>
    <w:rsid w:val="00395618"/>
    <w:rsid w:val="003A6BEF"/>
    <w:rsid w:val="003A6D35"/>
    <w:rsid w:val="003B0ACA"/>
    <w:rsid w:val="003C0D8D"/>
    <w:rsid w:val="003C73F1"/>
    <w:rsid w:val="003D6A4C"/>
    <w:rsid w:val="003E358E"/>
    <w:rsid w:val="003F18B0"/>
    <w:rsid w:val="003F259D"/>
    <w:rsid w:val="003F64FB"/>
    <w:rsid w:val="00412E45"/>
    <w:rsid w:val="00414438"/>
    <w:rsid w:val="00424EA9"/>
    <w:rsid w:val="00434730"/>
    <w:rsid w:val="004410C8"/>
    <w:rsid w:val="00443BB5"/>
    <w:rsid w:val="00452811"/>
    <w:rsid w:val="00454122"/>
    <w:rsid w:val="0045516F"/>
    <w:rsid w:val="00461DAB"/>
    <w:rsid w:val="004918A8"/>
    <w:rsid w:val="00494492"/>
    <w:rsid w:val="004A44C8"/>
    <w:rsid w:val="004A75D6"/>
    <w:rsid w:val="004B5EF7"/>
    <w:rsid w:val="004D16CB"/>
    <w:rsid w:val="004E0ABA"/>
    <w:rsid w:val="004E7CA9"/>
    <w:rsid w:val="00511E5D"/>
    <w:rsid w:val="00511FC4"/>
    <w:rsid w:val="00520275"/>
    <w:rsid w:val="00524DBF"/>
    <w:rsid w:val="0053386D"/>
    <w:rsid w:val="0053424F"/>
    <w:rsid w:val="00553C32"/>
    <w:rsid w:val="00561869"/>
    <w:rsid w:val="00566265"/>
    <w:rsid w:val="00573F39"/>
    <w:rsid w:val="005923BD"/>
    <w:rsid w:val="00597EBC"/>
    <w:rsid w:val="005A7278"/>
    <w:rsid w:val="005C21AB"/>
    <w:rsid w:val="005D0647"/>
    <w:rsid w:val="005D35F6"/>
    <w:rsid w:val="005E75DF"/>
    <w:rsid w:val="005F0DB0"/>
    <w:rsid w:val="005F66CB"/>
    <w:rsid w:val="00604386"/>
    <w:rsid w:val="00632E2D"/>
    <w:rsid w:val="00636BDE"/>
    <w:rsid w:val="006400B5"/>
    <w:rsid w:val="006476AB"/>
    <w:rsid w:val="00651D7B"/>
    <w:rsid w:val="0065570F"/>
    <w:rsid w:val="00675BA1"/>
    <w:rsid w:val="0068417B"/>
    <w:rsid w:val="006905E4"/>
    <w:rsid w:val="00693816"/>
    <w:rsid w:val="00694FE9"/>
    <w:rsid w:val="006A1627"/>
    <w:rsid w:val="006B0B82"/>
    <w:rsid w:val="006B5418"/>
    <w:rsid w:val="006B672F"/>
    <w:rsid w:val="006C0EA8"/>
    <w:rsid w:val="006C4D98"/>
    <w:rsid w:val="006C6184"/>
    <w:rsid w:val="006C6B10"/>
    <w:rsid w:val="006E2458"/>
    <w:rsid w:val="006E2FD5"/>
    <w:rsid w:val="006F28BA"/>
    <w:rsid w:val="006F3A22"/>
    <w:rsid w:val="007055F9"/>
    <w:rsid w:val="00707F7B"/>
    <w:rsid w:val="00710738"/>
    <w:rsid w:val="007213E4"/>
    <w:rsid w:val="007248BF"/>
    <w:rsid w:val="0072494C"/>
    <w:rsid w:val="00733E18"/>
    <w:rsid w:val="00733EB0"/>
    <w:rsid w:val="00741805"/>
    <w:rsid w:val="00747DB7"/>
    <w:rsid w:val="00757E3A"/>
    <w:rsid w:val="00777393"/>
    <w:rsid w:val="00780F3E"/>
    <w:rsid w:val="007932E5"/>
    <w:rsid w:val="007A52CC"/>
    <w:rsid w:val="007B3580"/>
    <w:rsid w:val="007B552F"/>
    <w:rsid w:val="007C45F9"/>
    <w:rsid w:val="007C4EB4"/>
    <w:rsid w:val="007E0A25"/>
    <w:rsid w:val="007F3D62"/>
    <w:rsid w:val="008018C4"/>
    <w:rsid w:val="00814B4F"/>
    <w:rsid w:val="00814CA0"/>
    <w:rsid w:val="00816102"/>
    <w:rsid w:val="0082566F"/>
    <w:rsid w:val="00840429"/>
    <w:rsid w:val="008404AE"/>
    <w:rsid w:val="00851E19"/>
    <w:rsid w:val="00853F10"/>
    <w:rsid w:val="00855133"/>
    <w:rsid w:val="00856153"/>
    <w:rsid w:val="0086558E"/>
    <w:rsid w:val="00875355"/>
    <w:rsid w:val="00877B12"/>
    <w:rsid w:val="00885280"/>
    <w:rsid w:val="008864CD"/>
    <w:rsid w:val="0089644D"/>
    <w:rsid w:val="008A016C"/>
    <w:rsid w:val="008A1957"/>
    <w:rsid w:val="008A34F0"/>
    <w:rsid w:val="008A789B"/>
    <w:rsid w:val="008C6DBE"/>
    <w:rsid w:val="008D4C50"/>
    <w:rsid w:val="008E57FA"/>
    <w:rsid w:val="008F5A56"/>
    <w:rsid w:val="0090066D"/>
    <w:rsid w:val="009052D9"/>
    <w:rsid w:val="00910631"/>
    <w:rsid w:val="00911D8D"/>
    <w:rsid w:val="0091310B"/>
    <w:rsid w:val="00915976"/>
    <w:rsid w:val="00925A96"/>
    <w:rsid w:val="009352C4"/>
    <w:rsid w:val="00971842"/>
    <w:rsid w:val="00977F9A"/>
    <w:rsid w:val="00981D80"/>
    <w:rsid w:val="00986AEC"/>
    <w:rsid w:val="00986CBD"/>
    <w:rsid w:val="0099141F"/>
    <w:rsid w:val="00992649"/>
    <w:rsid w:val="00997E13"/>
    <w:rsid w:val="009A1B38"/>
    <w:rsid w:val="009A674F"/>
    <w:rsid w:val="009A7D84"/>
    <w:rsid w:val="009B35AC"/>
    <w:rsid w:val="009B533D"/>
    <w:rsid w:val="009B5A1B"/>
    <w:rsid w:val="009B6428"/>
    <w:rsid w:val="009D0DBA"/>
    <w:rsid w:val="009E0125"/>
    <w:rsid w:val="009E4464"/>
    <w:rsid w:val="00A12BFF"/>
    <w:rsid w:val="00A1641E"/>
    <w:rsid w:val="00A17445"/>
    <w:rsid w:val="00A224A0"/>
    <w:rsid w:val="00A264BE"/>
    <w:rsid w:val="00A324E8"/>
    <w:rsid w:val="00A473B7"/>
    <w:rsid w:val="00A47F15"/>
    <w:rsid w:val="00A5527C"/>
    <w:rsid w:val="00A63B30"/>
    <w:rsid w:val="00A643F9"/>
    <w:rsid w:val="00A671E1"/>
    <w:rsid w:val="00A71B0E"/>
    <w:rsid w:val="00A736E5"/>
    <w:rsid w:val="00A805F7"/>
    <w:rsid w:val="00A93737"/>
    <w:rsid w:val="00AA497C"/>
    <w:rsid w:val="00AC17B3"/>
    <w:rsid w:val="00AC5C12"/>
    <w:rsid w:val="00AD137D"/>
    <w:rsid w:val="00AE1157"/>
    <w:rsid w:val="00AE27DC"/>
    <w:rsid w:val="00AF1CFF"/>
    <w:rsid w:val="00AF32F6"/>
    <w:rsid w:val="00AF3D60"/>
    <w:rsid w:val="00B000F9"/>
    <w:rsid w:val="00B0360F"/>
    <w:rsid w:val="00B14B23"/>
    <w:rsid w:val="00B16944"/>
    <w:rsid w:val="00B202DA"/>
    <w:rsid w:val="00B20E14"/>
    <w:rsid w:val="00B21835"/>
    <w:rsid w:val="00B26567"/>
    <w:rsid w:val="00B338AA"/>
    <w:rsid w:val="00B43124"/>
    <w:rsid w:val="00B45F95"/>
    <w:rsid w:val="00B55217"/>
    <w:rsid w:val="00B71817"/>
    <w:rsid w:val="00B73562"/>
    <w:rsid w:val="00B749CB"/>
    <w:rsid w:val="00B80344"/>
    <w:rsid w:val="00BA7E19"/>
    <w:rsid w:val="00BD1DFA"/>
    <w:rsid w:val="00BD75E2"/>
    <w:rsid w:val="00BE0F3E"/>
    <w:rsid w:val="00BE35B1"/>
    <w:rsid w:val="00BE5A89"/>
    <w:rsid w:val="00BF3673"/>
    <w:rsid w:val="00BF38FA"/>
    <w:rsid w:val="00C02546"/>
    <w:rsid w:val="00C05AB3"/>
    <w:rsid w:val="00C37C5C"/>
    <w:rsid w:val="00C5191A"/>
    <w:rsid w:val="00C57955"/>
    <w:rsid w:val="00C730F2"/>
    <w:rsid w:val="00C943B9"/>
    <w:rsid w:val="00CB1576"/>
    <w:rsid w:val="00CC071D"/>
    <w:rsid w:val="00CC55BE"/>
    <w:rsid w:val="00CC7CAD"/>
    <w:rsid w:val="00CD559C"/>
    <w:rsid w:val="00CF075C"/>
    <w:rsid w:val="00CF0B30"/>
    <w:rsid w:val="00CF3494"/>
    <w:rsid w:val="00D02ACC"/>
    <w:rsid w:val="00D0301E"/>
    <w:rsid w:val="00D03FE5"/>
    <w:rsid w:val="00D05336"/>
    <w:rsid w:val="00D17EF3"/>
    <w:rsid w:val="00D303C9"/>
    <w:rsid w:val="00D328E9"/>
    <w:rsid w:val="00D3542D"/>
    <w:rsid w:val="00D4298C"/>
    <w:rsid w:val="00D47FAD"/>
    <w:rsid w:val="00D62DA3"/>
    <w:rsid w:val="00D71796"/>
    <w:rsid w:val="00D73421"/>
    <w:rsid w:val="00D75268"/>
    <w:rsid w:val="00D83D3C"/>
    <w:rsid w:val="00D90829"/>
    <w:rsid w:val="00D91994"/>
    <w:rsid w:val="00D92EA7"/>
    <w:rsid w:val="00DA107B"/>
    <w:rsid w:val="00DA346F"/>
    <w:rsid w:val="00DA363E"/>
    <w:rsid w:val="00DB114F"/>
    <w:rsid w:val="00DB1A07"/>
    <w:rsid w:val="00DB474A"/>
    <w:rsid w:val="00DC5E75"/>
    <w:rsid w:val="00DC71A9"/>
    <w:rsid w:val="00DC7B02"/>
    <w:rsid w:val="00DD4062"/>
    <w:rsid w:val="00DD66BF"/>
    <w:rsid w:val="00DD6A6E"/>
    <w:rsid w:val="00DE5B28"/>
    <w:rsid w:val="00DE63F3"/>
    <w:rsid w:val="00DE6928"/>
    <w:rsid w:val="00E02537"/>
    <w:rsid w:val="00E0706F"/>
    <w:rsid w:val="00E21BD3"/>
    <w:rsid w:val="00E35DDE"/>
    <w:rsid w:val="00E43292"/>
    <w:rsid w:val="00E52A4E"/>
    <w:rsid w:val="00E53A99"/>
    <w:rsid w:val="00E5424A"/>
    <w:rsid w:val="00E568C2"/>
    <w:rsid w:val="00E6165C"/>
    <w:rsid w:val="00E61BC9"/>
    <w:rsid w:val="00E647D6"/>
    <w:rsid w:val="00E6735C"/>
    <w:rsid w:val="00E702B0"/>
    <w:rsid w:val="00E738FD"/>
    <w:rsid w:val="00E8134B"/>
    <w:rsid w:val="00E901CC"/>
    <w:rsid w:val="00E9681C"/>
    <w:rsid w:val="00E96D1A"/>
    <w:rsid w:val="00EA383A"/>
    <w:rsid w:val="00EA5E48"/>
    <w:rsid w:val="00EB1138"/>
    <w:rsid w:val="00EB288D"/>
    <w:rsid w:val="00EB5720"/>
    <w:rsid w:val="00EC37FE"/>
    <w:rsid w:val="00EC594F"/>
    <w:rsid w:val="00EC790F"/>
    <w:rsid w:val="00ED0A17"/>
    <w:rsid w:val="00ED1F7B"/>
    <w:rsid w:val="00F03158"/>
    <w:rsid w:val="00F05175"/>
    <w:rsid w:val="00F05837"/>
    <w:rsid w:val="00F06342"/>
    <w:rsid w:val="00F10654"/>
    <w:rsid w:val="00F220B2"/>
    <w:rsid w:val="00F403BD"/>
    <w:rsid w:val="00F41D7B"/>
    <w:rsid w:val="00F44555"/>
    <w:rsid w:val="00F50F66"/>
    <w:rsid w:val="00F52522"/>
    <w:rsid w:val="00F5598A"/>
    <w:rsid w:val="00F63D86"/>
    <w:rsid w:val="00F742DD"/>
    <w:rsid w:val="00F7557A"/>
    <w:rsid w:val="00F949A9"/>
    <w:rsid w:val="00F962FC"/>
    <w:rsid w:val="00FB642C"/>
    <w:rsid w:val="00FB6F75"/>
    <w:rsid w:val="00FE1F4B"/>
    <w:rsid w:val="00FF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8D69"/>
  <w15:chartTrackingRefBased/>
  <w15:docId w15:val="{31F3282D-9D39-4423-8693-AE1D9AA6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1BC"/>
    <w:rPr>
      <w:rFonts w:eastAsiaTheme="majorEastAsia" w:cstheme="majorBidi"/>
      <w:color w:val="272727" w:themeColor="text1" w:themeTint="D8"/>
    </w:rPr>
  </w:style>
  <w:style w:type="paragraph" w:styleId="Title">
    <w:name w:val="Title"/>
    <w:basedOn w:val="Normal"/>
    <w:next w:val="Normal"/>
    <w:link w:val="TitleChar"/>
    <w:uiPriority w:val="10"/>
    <w:qFormat/>
    <w:rsid w:val="002B5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1BC"/>
    <w:pPr>
      <w:spacing w:before="160"/>
      <w:jc w:val="center"/>
    </w:pPr>
    <w:rPr>
      <w:i/>
      <w:iCs/>
      <w:color w:val="404040" w:themeColor="text1" w:themeTint="BF"/>
    </w:rPr>
  </w:style>
  <w:style w:type="character" w:customStyle="1" w:styleId="QuoteChar">
    <w:name w:val="Quote Char"/>
    <w:basedOn w:val="DefaultParagraphFont"/>
    <w:link w:val="Quote"/>
    <w:uiPriority w:val="29"/>
    <w:rsid w:val="002B51BC"/>
    <w:rPr>
      <w:i/>
      <w:iCs/>
      <w:color w:val="404040" w:themeColor="text1" w:themeTint="BF"/>
    </w:rPr>
  </w:style>
  <w:style w:type="paragraph" w:styleId="ListParagraph">
    <w:name w:val="List Paragraph"/>
    <w:basedOn w:val="Normal"/>
    <w:uiPriority w:val="34"/>
    <w:qFormat/>
    <w:rsid w:val="002B51BC"/>
    <w:pPr>
      <w:ind w:left="720"/>
      <w:contextualSpacing/>
    </w:pPr>
  </w:style>
  <w:style w:type="character" w:styleId="IntenseEmphasis">
    <w:name w:val="Intense Emphasis"/>
    <w:basedOn w:val="DefaultParagraphFont"/>
    <w:uiPriority w:val="21"/>
    <w:qFormat/>
    <w:rsid w:val="002B51BC"/>
    <w:rPr>
      <w:i/>
      <w:iCs/>
      <w:color w:val="0F4761" w:themeColor="accent1" w:themeShade="BF"/>
    </w:rPr>
  </w:style>
  <w:style w:type="paragraph" w:styleId="IntenseQuote">
    <w:name w:val="Intense Quote"/>
    <w:basedOn w:val="Normal"/>
    <w:next w:val="Normal"/>
    <w:link w:val="IntenseQuoteChar"/>
    <w:uiPriority w:val="30"/>
    <w:qFormat/>
    <w:rsid w:val="002B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1BC"/>
    <w:rPr>
      <w:i/>
      <w:iCs/>
      <w:color w:val="0F4761" w:themeColor="accent1" w:themeShade="BF"/>
    </w:rPr>
  </w:style>
  <w:style w:type="character" w:styleId="IntenseReference">
    <w:name w:val="Intense Reference"/>
    <w:basedOn w:val="DefaultParagraphFont"/>
    <w:uiPriority w:val="32"/>
    <w:qFormat/>
    <w:rsid w:val="002B51BC"/>
    <w:rPr>
      <w:b/>
      <w:bCs/>
      <w:smallCaps/>
      <w:color w:val="0F4761" w:themeColor="accent1" w:themeShade="BF"/>
      <w:spacing w:val="5"/>
    </w:rPr>
  </w:style>
  <w:style w:type="paragraph" w:customStyle="1" w:styleId="xxxmsonormal">
    <w:name w:val="x_x_xmsonormal"/>
    <w:basedOn w:val="Normal"/>
    <w:rsid w:val="006400B5"/>
    <w:pPr>
      <w:spacing w:after="0" w:line="240" w:lineRule="auto"/>
    </w:pPr>
    <w:rPr>
      <w:rFonts w:ascii="Aptos" w:hAnsi="Aptos" w:cs="Aptos"/>
      <w:kern w:val="0"/>
      <w:lang w:eastAsia="en-GB"/>
      <w14:ligatures w14:val="none"/>
    </w:rPr>
  </w:style>
  <w:style w:type="paragraph" w:styleId="NormalWeb">
    <w:name w:val="Normal (Web)"/>
    <w:basedOn w:val="Normal"/>
    <w:uiPriority w:val="99"/>
    <w:unhideWhenUsed/>
    <w:rsid w:val="004A75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A75D6"/>
    <w:rPr>
      <w:b/>
      <w:bCs/>
    </w:rPr>
  </w:style>
  <w:style w:type="paragraph" w:styleId="Revision">
    <w:name w:val="Revision"/>
    <w:hidden/>
    <w:uiPriority w:val="99"/>
    <w:semiHidden/>
    <w:rsid w:val="00E647D6"/>
    <w:pPr>
      <w:spacing w:after="0" w:line="240" w:lineRule="auto"/>
    </w:pPr>
  </w:style>
  <w:style w:type="character" w:styleId="Hyperlink">
    <w:name w:val="Hyperlink"/>
    <w:basedOn w:val="DefaultParagraphFont"/>
    <w:uiPriority w:val="99"/>
    <w:unhideWhenUsed/>
    <w:rsid w:val="00D02ACC"/>
    <w:rPr>
      <w:color w:val="467886" w:themeColor="hyperlink"/>
      <w:u w:val="single"/>
    </w:rPr>
  </w:style>
  <w:style w:type="character" w:styleId="UnresolvedMention">
    <w:name w:val="Unresolved Mention"/>
    <w:basedOn w:val="DefaultParagraphFont"/>
    <w:uiPriority w:val="99"/>
    <w:semiHidden/>
    <w:unhideWhenUsed/>
    <w:rsid w:val="00D02ACC"/>
    <w:rPr>
      <w:color w:val="605E5C"/>
      <w:shd w:val="clear" w:color="auto" w:fill="E1DFDD"/>
    </w:rPr>
  </w:style>
  <w:style w:type="character" w:styleId="CommentReference">
    <w:name w:val="annotation reference"/>
    <w:basedOn w:val="DefaultParagraphFont"/>
    <w:uiPriority w:val="99"/>
    <w:semiHidden/>
    <w:unhideWhenUsed/>
    <w:rsid w:val="00F5598A"/>
    <w:rPr>
      <w:sz w:val="16"/>
      <w:szCs w:val="16"/>
    </w:rPr>
  </w:style>
  <w:style w:type="paragraph" w:styleId="CommentText">
    <w:name w:val="annotation text"/>
    <w:basedOn w:val="Normal"/>
    <w:link w:val="CommentTextChar"/>
    <w:uiPriority w:val="99"/>
    <w:unhideWhenUsed/>
    <w:rsid w:val="00F5598A"/>
    <w:pPr>
      <w:spacing w:line="240" w:lineRule="auto"/>
    </w:pPr>
    <w:rPr>
      <w:sz w:val="20"/>
      <w:szCs w:val="20"/>
    </w:rPr>
  </w:style>
  <w:style w:type="character" w:customStyle="1" w:styleId="CommentTextChar">
    <w:name w:val="Comment Text Char"/>
    <w:basedOn w:val="DefaultParagraphFont"/>
    <w:link w:val="CommentText"/>
    <w:uiPriority w:val="99"/>
    <w:rsid w:val="00F5598A"/>
    <w:rPr>
      <w:sz w:val="20"/>
      <w:szCs w:val="20"/>
    </w:rPr>
  </w:style>
  <w:style w:type="paragraph" w:styleId="CommentSubject">
    <w:name w:val="annotation subject"/>
    <w:basedOn w:val="CommentText"/>
    <w:next w:val="CommentText"/>
    <w:link w:val="CommentSubjectChar"/>
    <w:uiPriority w:val="99"/>
    <w:semiHidden/>
    <w:unhideWhenUsed/>
    <w:rsid w:val="00F5598A"/>
    <w:rPr>
      <w:b/>
      <w:bCs/>
    </w:rPr>
  </w:style>
  <w:style w:type="character" w:customStyle="1" w:styleId="CommentSubjectChar">
    <w:name w:val="Comment Subject Char"/>
    <w:basedOn w:val="CommentTextChar"/>
    <w:link w:val="CommentSubject"/>
    <w:uiPriority w:val="99"/>
    <w:semiHidden/>
    <w:rsid w:val="00F559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erdeeninvestments.com/en-gb/professio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7486</Characters>
  <Application>Microsoft Office Word</Application>
  <DocSecurity>0</DocSecurity>
  <Lines>133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Leo</dc:creator>
  <cp:keywords/>
  <dc:description/>
  <cp:lastModifiedBy>Tegan Adair</cp:lastModifiedBy>
  <cp:revision>2</cp:revision>
  <dcterms:created xsi:type="dcterms:W3CDTF">2026-03-23T15:17:00Z</dcterms:created>
  <dcterms:modified xsi:type="dcterms:W3CDTF">2026-03-23T15:17:00Z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edb74c-5c9d-4922-8c2a-58c941882563_Enabled">
    <vt:lpwstr>true</vt:lpwstr>
  </property>
  <property fmtid="{D5CDD505-2E9C-101B-9397-08002B2CF9AE}" pid="3" name="MSIP_Label_daedb74c-5c9d-4922-8c2a-58c941882563_SetDate">
    <vt:lpwstr>2026-03-02T10:14:09Z</vt:lpwstr>
  </property>
  <property fmtid="{D5CDD505-2E9C-101B-9397-08002B2CF9AE}" pid="4" name="MSIP_Label_daedb74c-5c9d-4922-8c2a-58c941882563_Method">
    <vt:lpwstr>Privileged</vt:lpwstr>
  </property>
  <property fmtid="{D5CDD505-2E9C-101B-9397-08002B2CF9AE}" pid="5" name="MSIP_Label_daedb74c-5c9d-4922-8c2a-58c941882563_Name">
    <vt:lpwstr>Internal</vt:lpwstr>
  </property>
  <property fmtid="{D5CDD505-2E9C-101B-9397-08002B2CF9AE}" pid="6" name="MSIP_Label_daedb74c-5c9d-4922-8c2a-58c941882563_SiteId">
    <vt:lpwstr>27b2553d-4a89-4c74-88e1-d1d590624294</vt:lpwstr>
  </property>
  <property fmtid="{D5CDD505-2E9C-101B-9397-08002B2CF9AE}" pid="7" name="MSIP_Label_daedb74c-5c9d-4922-8c2a-58c941882563_ActionId">
    <vt:lpwstr>2ce1bc36-73be-4a42-b993-53da46dab5db</vt:lpwstr>
  </property>
  <property fmtid="{D5CDD505-2E9C-101B-9397-08002B2CF9AE}" pid="8" name="MSIP_Label_daedb74c-5c9d-4922-8c2a-58c941882563_ContentBits">
    <vt:lpwstr>0</vt:lpwstr>
  </property>
  <property fmtid="{D5CDD505-2E9C-101B-9397-08002B2CF9AE}" pid="9" name="MSIP_Label_daedb74c-5c9d-4922-8c2a-58c941882563_Tag">
    <vt:lpwstr>10, 0, 1, 1</vt:lpwstr>
  </property>
  <property fmtid="{D5CDD505-2E9C-101B-9397-08002B2CF9AE}" pid="10" name="GrammarlyDocumentId">
    <vt:lpwstr>f5739178-ca13-4c36-8666-839876fc2fb9</vt:lpwstr>
  </property>
</Properties>
</file>